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C5A1" w14:textId="77777777" w:rsidR="00900E57" w:rsidRDefault="00900E57" w:rsidP="00900E57">
      <w:pPr>
        <w:rPr>
          <w:rFonts w:ascii="Arial" w:hAnsi="Arial" w:cs="Arial"/>
          <w:sz w:val="20"/>
        </w:rPr>
      </w:pPr>
      <w:bookmarkStart w:id="0" w:name="OLE_LINK1"/>
      <w:bookmarkStart w:id="1" w:name="OLE_LINK2"/>
      <w:bookmarkStart w:id="2" w:name="_Hlk481749518"/>
      <w:r>
        <w:rPr>
          <w:rFonts w:ascii="Arial" w:hAnsi="Arial" w:cs="Arial"/>
          <w:sz w:val="20"/>
        </w:rPr>
        <w:t>.</w:t>
      </w:r>
      <w:r>
        <w:rPr>
          <w:rFonts w:ascii="Arial" w:hAnsi="Arial" w:cs="Arial"/>
          <w:noProof/>
          <w:sz w:val="20"/>
        </w:rPr>
        <w:drawing>
          <wp:inline distT="0" distB="0" distL="0" distR="0" wp14:anchorId="23257A2E" wp14:editId="6FCD07EE">
            <wp:extent cx="5943600" cy="1252220"/>
            <wp:effectExtent l="0" t="0" r="0" b="5080"/>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252220"/>
                    </a:xfrm>
                    <a:prstGeom prst="rect">
                      <a:avLst/>
                    </a:prstGeom>
                  </pic:spPr>
                </pic:pic>
              </a:graphicData>
            </a:graphic>
          </wp:inline>
        </w:drawing>
      </w:r>
    </w:p>
    <w:p w14:paraId="178366B1" w14:textId="77777777" w:rsidR="00900E57" w:rsidRPr="00180F5A" w:rsidRDefault="00900E57" w:rsidP="00900E57">
      <w:pPr>
        <w:spacing w:line="256" w:lineRule="auto"/>
        <w:jc w:val="center"/>
        <w:rPr>
          <w:rFonts w:ascii="Arial" w:hAnsi="Arial" w:cs="Arial"/>
          <w:b/>
          <w:szCs w:val="22"/>
        </w:rPr>
      </w:pPr>
      <w:r w:rsidRPr="00180F5A">
        <w:rPr>
          <w:rFonts w:ascii="Arial" w:hAnsi="Arial" w:cs="Arial"/>
          <w:b/>
          <w:szCs w:val="22"/>
        </w:rPr>
        <w:t>Executive Committee Call</w:t>
      </w:r>
    </w:p>
    <w:p w14:paraId="2707466E" w14:textId="77777777" w:rsidR="00900E57" w:rsidRPr="00180F5A" w:rsidRDefault="00900E57" w:rsidP="00900E57">
      <w:pPr>
        <w:spacing w:line="256" w:lineRule="auto"/>
        <w:jc w:val="center"/>
        <w:rPr>
          <w:rFonts w:ascii="Arial" w:hAnsi="Arial" w:cs="Arial"/>
          <w:b/>
          <w:szCs w:val="22"/>
        </w:rPr>
      </w:pPr>
      <w:r w:rsidRPr="00180F5A">
        <w:rPr>
          <w:rFonts w:ascii="Arial" w:hAnsi="Arial" w:cs="Arial"/>
          <w:b/>
          <w:szCs w:val="22"/>
        </w:rPr>
        <w:t xml:space="preserve">Monday, </w:t>
      </w:r>
      <w:r>
        <w:rPr>
          <w:rFonts w:ascii="Arial" w:hAnsi="Arial" w:cs="Arial"/>
          <w:b/>
          <w:szCs w:val="22"/>
        </w:rPr>
        <w:t>April 10</w:t>
      </w:r>
      <w:r w:rsidRPr="00180F5A">
        <w:rPr>
          <w:rFonts w:ascii="Arial" w:hAnsi="Arial" w:cs="Arial"/>
          <w:b/>
          <w:szCs w:val="22"/>
        </w:rPr>
        <w:t>, 2023</w:t>
      </w:r>
    </w:p>
    <w:p w14:paraId="5D25B14B" w14:textId="77777777" w:rsidR="00900E57" w:rsidRPr="00180F5A" w:rsidRDefault="00900E57" w:rsidP="00900E57">
      <w:pPr>
        <w:spacing w:line="256" w:lineRule="auto"/>
        <w:jc w:val="center"/>
        <w:rPr>
          <w:rFonts w:ascii="Arial" w:hAnsi="Arial" w:cs="Arial"/>
          <w:b/>
          <w:szCs w:val="22"/>
        </w:rPr>
      </w:pPr>
      <w:r w:rsidRPr="00180F5A">
        <w:rPr>
          <w:rFonts w:ascii="Arial" w:hAnsi="Arial" w:cs="Arial"/>
          <w:b/>
          <w:szCs w:val="22"/>
        </w:rPr>
        <w:t>Minutes</w:t>
      </w:r>
    </w:p>
    <w:p w14:paraId="0A0F6117" w14:textId="77777777" w:rsidR="00900E57" w:rsidRDefault="00900E57" w:rsidP="00900E57">
      <w:pPr>
        <w:rPr>
          <w:rFonts w:ascii="Arial" w:hAnsi="Arial" w:cs="Arial"/>
          <w:sz w:val="20"/>
        </w:rPr>
      </w:pPr>
    </w:p>
    <w:p w14:paraId="0B0C76D7" w14:textId="77777777" w:rsidR="00900E57" w:rsidRPr="00996AFB" w:rsidRDefault="00900E57" w:rsidP="00900E57">
      <w:pPr>
        <w:rPr>
          <w:rFonts w:ascii="Arial" w:hAnsi="Arial" w:cs="Arial"/>
          <w:b/>
          <w:bCs/>
          <w:sz w:val="20"/>
        </w:rPr>
      </w:pPr>
      <w:r w:rsidRPr="00996AFB">
        <w:rPr>
          <w:rFonts w:ascii="Arial" w:hAnsi="Arial" w:cs="Arial"/>
          <w:b/>
          <w:bCs/>
          <w:sz w:val="20"/>
        </w:rPr>
        <w:t>Roll Call</w:t>
      </w:r>
    </w:p>
    <w:p w14:paraId="7837D485" w14:textId="77777777" w:rsidR="00900E57" w:rsidRPr="00964AEA" w:rsidRDefault="00900E57" w:rsidP="00900E57">
      <w:pPr>
        <w:ind w:left="2160" w:hanging="2160"/>
        <w:rPr>
          <w:rFonts w:ascii="Arial" w:hAnsi="Arial" w:cs="Arial"/>
          <w:sz w:val="20"/>
        </w:rPr>
      </w:pPr>
      <w:r>
        <w:rPr>
          <w:rFonts w:ascii="Arial" w:hAnsi="Arial" w:cs="Arial"/>
          <w:sz w:val="20"/>
        </w:rPr>
        <w:t>Present</w:t>
      </w:r>
      <w:r w:rsidRPr="00E46520">
        <w:rPr>
          <w:rFonts w:ascii="Arial" w:hAnsi="Arial" w:cs="Arial"/>
          <w:sz w:val="20"/>
        </w:rPr>
        <w:t>:</w:t>
      </w:r>
      <w:r w:rsidRPr="00E46520">
        <w:rPr>
          <w:rFonts w:ascii="Arial" w:hAnsi="Arial" w:cs="Arial"/>
          <w:sz w:val="20"/>
        </w:rPr>
        <w:tab/>
      </w:r>
      <w:r w:rsidRPr="00996AFB">
        <w:rPr>
          <w:rFonts w:ascii="Arial" w:hAnsi="Arial" w:cs="Arial"/>
          <w:sz w:val="20"/>
          <w:u w:val="single"/>
        </w:rPr>
        <w:t>Members</w:t>
      </w:r>
      <w:r>
        <w:rPr>
          <w:rFonts w:ascii="Arial" w:hAnsi="Arial" w:cs="Arial"/>
          <w:sz w:val="20"/>
          <w:u w:val="single"/>
        </w:rPr>
        <w:t xml:space="preserve">: </w:t>
      </w:r>
      <w:r>
        <w:rPr>
          <w:rFonts w:ascii="Arial" w:hAnsi="Arial" w:cs="Arial"/>
          <w:sz w:val="20"/>
        </w:rPr>
        <w:t xml:space="preserve">Harsh K. Trivedi, board chair; </w:t>
      </w:r>
      <w:r w:rsidRPr="00DF5633">
        <w:rPr>
          <w:rFonts w:ascii="Arial" w:hAnsi="Arial" w:cs="Arial"/>
          <w:sz w:val="20"/>
        </w:rPr>
        <w:t>Mark Covall</w:t>
      </w:r>
      <w:r>
        <w:rPr>
          <w:rFonts w:ascii="Arial" w:hAnsi="Arial" w:cs="Arial"/>
          <w:sz w:val="20"/>
        </w:rPr>
        <w:t xml:space="preserve">, </w:t>
      </w:r>
      <w:r w:rsidRPr="00DF5633">
        <w:rPr>
          <w:rFonts w:ascii="Arial" w:hAnsi="Arial" w:cs="Arial"/>
          <w:sz w:val="20"/>
        </w:rPr>
        <w:t>Frank Ghinassi,</w:t>
      </w:r>
      <w:r w:rsidRPr="00A117A8">
        <w:rPr>
          <w:rFonts w:ascii="Arial" w:hAnsi="Arial" w:cs="Arial"/>
          <w:sz w:val="20"/>
        </w:rPr>
        <w:t xml:space="preserve"> </w:t>
      </w:r>
      <w:r w:rsidRPr="00DF5633">
        <w:rPr>
          <w:rFonts w:ascii="Arial" w:hAnsi="Arial" w:cs="Arial"/>
          <w:sz w:val="20"/>
        </w:rPr>
        <w:t>Eric Kim</w:t>
      </w:r>
      <w:r>
        <w:rPr>
          <w:rFonts w:ascii="Arial" w:hAnsi="Arial" w:cs="Arial"/>
          <w:sz w:val="20"/>
        </w:rPr>
        <w:t xml:space="preserve">, Dwight A. Lacy, Eric Paul, </w:t>
      </w:r>
      <w:r w:rsidRPr="00DF5633">
        <w:rPr>
          <w:rFonts w:ascii="Arial" w:hAnsi="Arial" w:cs="Arial"/>
          <w:sz w:val="20"/>
        </w:rPr>
        <w:t>Matt Peterson</w:t>
      </w:r>
      <w:r>
        <w:rPr>
          <w:rFonts w:ascii="Arial" w:hAnsi="Arial" w:cs="Arial"/>
          <w:sz w:val="20"/>
        </w:rPr>
        <w:t xml:space="preserve">, Eric Paul </w:t>
      </w:r>
    </w:p>
    <w:p w14:paraId="10E0D7EC" w14:textId="77777777" w:rsidR="00900E57" w:rsidRPr="002E52E9" w:rsidRDefault="00900E57" w:rsidP="00900E57">
      <w:pPr>
        <w:rPr>
          <w:rFonts w:ascii="Arial" w:hAnsi="Arial" w:cs="Arial"/>
          <w:sz w:val="20"/>
        </w:rPr>
      </w:pPr>
    </w:p>
    <w:p w14:paraId="1CC837E7" w14:textId="77777777" w:rsidR="00900E57" w:rsidRDefault="00900E57" w:rsidP="00900E57">
      <w:pPr>
        <w:ind w:left="2160"/>
        <w:rPr>
          <w:rFonts w:ascii="Arial" w:hAnsi="Arial" w:cs="Arial"/>
          <w:sz w:val="20"/>
        </w:rPr>
      </w:pPr>
      <w:r w:rsidRPr="00996AFB">
        <w:rPr>
          <w:rFonts w:ascii="Arial" w:hAnsi="Arial" w:cs="Arial"/>
          <w:sz w:val="20"/>
          <w:u w:val="single"/>
        </w:rPr>
        <w:t>Staff:</w:t>
      </w:r>
      <w:r>
        <w:rPr>
          <w:rFonts w:ascii="Arial" w:hAnsi="Arial" w:cs="Arial"/>
          <w:sz w:val="20"/>
        </w:rPr>
        <w:t xml:space="preserve"> </w:t>
      </w:r>
      <w:r w:rsidRPr="00DF5633">
        <w:rPr>
          <w:rFonts w:ascii="Arial" w:hAnsi="Arial" w:cs="Arial"/>
          <w:sz w:val="20"/>
        </w:rPr>
        <w:t>Shawn Coughlin, Rochelle Archuleta,</w:t>
      </w:r>
      <w:r w:rsidRPr="00A117A8">
        <w:rPr>
          <w:rFonts w:ascii="Arial" w:hAnsi="Arial" w:cs="Arial"/>
          <w:sz w:val="20"/>
        </w:rPr>
        <w:t xml:space="preserve"> </w:t>
      </w:r>
      <w:r>
        <w:rPr>
          <w:rFonts w:ascii="Arial" w:hAnsi="Arial" w:cs="Arial"/>
          <w:sz w:val="20"/>
        </w:rPr>
        <w:t>Julia Richardson,</w:t>
      </w:r>
      <w:r w:rsidRPr="00651AF7">
        <w:rPr>
          <w:rFonts w:ascii="Arial" w:hAnsi="Arial" w:cs="Arial"/>
          <w:sz w:val="20"/>
        </w:rPr>
        <w:t xml:space="preserve"> </w:t>
      </w:r>
      <w:r w:rsidRPr="00DF5633">
        <w:rPr>
          <w:rFonts w:ascii="Arial" w:hAnsi="Arial" w:cs="Arial"/>
          <w:sz w:val="20"/>
        </w:rPr>
        <w:t>Emily Wilkins</w:t>
      </w:r>
    </w:p>
    <w:p w14:paraId="4815511D" w14:textId="77777777" w:rsidR="00900E57" w:rsidRDefault="00900E57" w:rsidP="00900E57">
      <w:pPr>
        <w:ind w:left="2160"/>
        <w:rPr>
          <w:rFonts w:ascii="Arial" w:hAnsi="Arial" w:cs="Arial"/>
          <w:sz w:val="20"/>
        </w:rPr>
      </w:pPr>
    </w:p>
    <w:p w14:paraId="74D5A836" w14:textId="77777777" w:rsidR="00900E57" w:rsidRDefault="00900E57" w:rsidP="00900E57">
      <w:pPr>
        <w:ind w:left="2160" w:hanging="2160"/>
        <w:rPr>
          <w:rFonts w:ascii="Arial" w:hAnsi="Arial" w:cs="Arial"/>
          <w:sz w:val="20"/>
          <w:u w:val="single"/>
        </w:rPr>
      </w:pPr>
      <w:r>
        <w:rPr>
          <w:rFonts w:ascii="Arial" w:hAnsi="Arial" w:cs="Arial"/>
          <w:sz w:val="20"/>
        </w:rPr>
        <w:t>Absent:</w:t>
      </w:r>
      <w:r>
        <w:rPr>
          <w:rFonts w:ascii="Arial" w:hAnsi="Arial" w:cs="Arial"/>
          <w:sz w:val="20"/>
        </w:rPr>
        <w:tab/>
      </w:r>
      <w:r w:rsidRPr="00996AFB">
        <w:rPr>
          <w:rFonts w:ascii="Arial" w:hAnsi="Arial" w:cs="Arial"/>
          <w:sz w:val="20"/>
          <w:u w:val="single"/>
        </w:rPr>
        <w:t>Members</w:t>
      </w:r>
      <w:r>
        <w:rPr>
          <w:rFonts w:ascii="Arial" w:hAnsi="Arial" w:cs="Arial"/>
          <w:sz w:val="20"/>
          <w:u w:val="single"/>
        </w:rPr>
        <w:t xml:space="preserve">: </w:t>
      </w:r>
      <w:r w:rsidRPr="00DF5633">
        <w:rPr>
          <w:rFonts w:ascii="Arial" w:hAnsi="Arial" w:cs="Arial"/>
          <w:sz w:val="20"/>
        </w:rPr>
        <w:t>John Hollinsworth</w:t>
      </w:r>
      <w:r>
        <w:rPr>
          <w:rFonts w:ascii="Arial" w:hAnsi="Arial" w:cs="Arial"/>
          <w:sz w:val="20"/>
        </w:rPr>
        <w:t xml:space="preserve">, </w:t>
      </w:r>
      <w:r w:rsidRPr="00E6738A">
        <w:rPr>
          <w:rFonts w:ascii="Arial" w:hAnsi="Arial" w:cs="Arial"/>
          <w:sz w:val="20"/>
        </w:rPr>
        <w:t>Jameson K. Norton, Deborah A. Weidner</w:t>
      </w:r>
    </w:p>
    <w:p w14:paraId="43A32849" w14:textId="77777777" w:rsidR="00900E57" w:rsidRDefault="00900E57" w:rsidP="00900E57">
      <w:pPr>
        <w:rPr>
          <w:rFonts w:ascii="Arial" w:hAnsi="Arial" w:cs="Arial"/>
          <w:sz w:val="20"/>
          <w:u w:val="single"/>
        </w:rPr>
      </w:pPr>
    </w:p>
    <w:p w14:paraId="654D5E58" w14:textId="77777777" w:rsidR="00900E57" w:rsidRPr="00996AFB" w:rsidRDefault="00900E57" w:rsidP="00900E57">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996AFB">
        <w:rPr>
          <w:rFonts w:ascii="Arial" w:hAnsi="Arial" w:cs="Arial"/>
          <w:sz w:val="20"/>
          <w:u w:val="single"/>
        </w:rPr>
        <w:t>Staff:</w:t>
      </w:r>
      <w:r>
        <w:rPr>
          <w:rFonts w:ascii="Arial" w:hAnsi="Arial" w:cs="Arial"/>
          <w:sz w:val="20"/>
        </w:rPr>
        <w:t xml:space="preserve"> </w:t>
      </w:r>
      <w:r w:rsidRPr="00DF5633">
        <w:rPr>
          <w:rFonts w:ascii="Arial" w:hAnsi="Arial" w:cs="Arial"/>
          <w:sz w:val="20"/>
        </w:rPr>
        <w:t>Maria Merlie</w:t>
      </w:r>
      <w:r>
        <w:rPr>
          <w:rFonts w:ascii="Arial" w:hAnsi="Arial" w:cs="Arial"/>
          <w:sz w:val="20"/>
        </w:rPr>
        <w:t>, Sarah Wattenberg, Jessica Zigmond</w:t>
      </w:r>
    </w:p>
    <w:p w14:paraId="64295066" w14:textId="77777777" w:rsidR="00900E57" w:rsidRDefault="00900E57" w:rsidP="00900E57">
      <w:pPr>
        <w:jc w:val="both"/>
        <w:rPr>
          <w:rFonts w:ascii="Arial" w:hAnsi="Arial" w:cs="Arial"/>
          <w:sz w:val="20"/>
        </w:rPr>
      </w:pPr>
    </w:p>
    <w:p w14:paraId="1FFE519E" w14:textId="77777777" w:rsidR="00900E57" w:rsidRPr="008B1A2D" w:rsidRDefault="00900E57" w:rsidP="00900E57">
      <w:pPr>
        <w:overflowPunct/>
        <w:autoSpaceDE/>
        <w:adjustRightInd/>
        <w:ind w:left="1440"/>
        <w:rPr>
          <w:rFonts w:ascii="Arial" w:hAnsi="Arial" w:cs="Arial"/>
          <w:b/>
          <w:sz w:val="20"/>
        </w:rPr>
      </w:pPr>
      <w:bookmarkStart w:id="3" w:name="_Hlk110505471"/>
      <w:bookmarkStart w:id="4" w:name="_Hlk510679663"/>
      <w:bookmarkStart w:id="5" w:name="_Hlk492632373"/>
      <w:bookmarkEnd w:id="0"/>
      <w:bookmarkEnd w:id="1"/>
      <w:bookmarkEnd w:id="2"/>
    </w:p>
    <w:bookmarkEnd w:id="3"/>
    <w:p w14:paraId="7A8DD7D6" w14:textId="77777777" w:rsidR="00900E57" w:rsidRDefault="00900E57" w:rsidP="00900E57">
      <w:pPr>
        <w:numPr>
          <w:ilvl w:val="0"/>
          <w:numId w:val="1"/>
        </w:numPr>
        <w:tabs>
          <w:tab w:val="clear" w:pos="1440"/>
          <w:tab w:val="num" w:pos="2160"/>
        </w:tabs>
        <w:overflowPunct/>
        <w:autoSpaceDE/>
        <w:adjustRightInd/>
        <w:rPr>
          <w:rFonts w:ascii="Arial" w:hAnsi="Arial" w:cs="Arial"/>
          <w:b/>
          <w:sz w:val="20"/>
        </w:rPr>
      </w:pPr>
      <w:r w:rsidRPr="008B1A2D">
        <w:rPr>
          <w:rFonts w:ascii="Arial" w:hAnsi="Arial" w:cs="Arial"/>
          <w:b/>
          <w:sz w:val="20"/>
        </w:rPr>
        <w:t>Minutes Approval: March 13 Executive Committee Call</w:t>
      </w:r>
    </w:p>
    <w:p w14:paraId="2E9E2AD9" w14:textId="77777777" w:rsidR="00900E57" w:rsidRDefault="00900E57" w:rsidP="00900E57">
      <w:pPr>
        <w:overflowPunct/>
        <w:autoSpaceDE/>
        <w:adjustRightInd/>
        <w:ind w:left="1440"/>
        <w:rPr>
          <w:rFonts w:ascii="Arial" w:hAnsi="Arial" w:cs="Arial"/>
          <w:b/>
          <w:sz w:val="20"/>
        </w:rPr>
      </w:pPr>
    </w:p>
    <w:p w14:paraId="04DE9549" w14:textId="1D73ABA0" w:rsidR="00900E57" w:rsidRPr="008B1A2D" w:rsidRDefault="00900E57" w:rsidP="00900E57">
      <w:pPr>
        <w:overflowPunct/>
        <w:autoSpaceDE/>
        <w:adjustRightInd/>
        <w:ind w:left="1440"/>
        <w:rPr>
          <w:rFonts w:ascii="Arial" w:hAnsi="Arial" w:cs="Arial"/>
          <w:bCs/>
          <w:sz w:val="20"/>
        </w:rPr>
      </w:pPr>
      <w:r>
        <w:rPr>
          <w:rFonts w:ascii="Arial" w:hAnsi="Arial" w:cs="Arial"/>
          <w:bCs/>
          <w:sz w:val="20"/>
        </w:rPr>
        <w:t xml:space="preserve">Harsh welcomed all to the meeting and called for a motion to approve the March Executive Committee (EC) call minutes. A motion was </w:t>
      </w:r>
      <w:r w:rsidR="00226AE3">
        <w:rPr>
          <w:rFonts w:ascii="Arial" w:hAnsi="Arial" w:cs="Arial"/>
          <w:bCs/>
          <w:sz w:val="20"/>
        </w:rPr>
        <w:t>made,</w:t>
      </w:r>
      <w:r>
        <w:rPr>
          <w:rFonts w:ascii="Arial" w:hAnsi="Arial" w:cs="Arial"/>
          <w:bCs/>
          <w:sz w:val="20"/>
        </w:rPr>
        <w:t xml:space="preserve"> and all members approved the motion unanimously</w:t>
      </w:r>
      <w:r w:rsidR="00406B39">
        <w:rPr>
          <w:rFonts w:ascii="Arial" w:hAnsi="Arial" w:cs="Arial"/>
          <w:bCs/>
          <w:sz w:val="20"/>
        </w:rPr>
        <w:t>.</w:t>
      </w:r>
      <w:r>
        <w:rPr>
          <w:rFonts w:ascii="Arial" w:hAnsi="Arial" w:cs="Arial"/>
          <w:bCs/>
          <w:sz w:val="20"/>
        </w:rPr>
        <w:t xml:space="preserve"> </w:t>
      </w:r>
    </w:p>
    <w:p w14:paraId="6A11CBD0" w14:textId="77777777" w:rsidR="00900E57" w:rsidRPr="008B1A2D" w:rsidRDefault="00900E57" w:rsidP="00900E57">
      <w:pPr>
        <w:overflowPunct/>
        <w:autoSpaceDE/>
        <w:adjustRightInd/>
        <w:ind w:left="1440"/>
        <w:rPr>
          <w:rFonts w:ascii="Arial" w:hAnsi="Arial" w:cs="Arial"/>
          <w:b/>
          <w:sz w:val="20"/>
        </w:rPr>
      </w:pPr>
    </w:p>
    <w:p w14:paraId="47C4D08A" w14:textId="77777777" w:rsidR="00900E57" w:rsidRDefault="00900E57" w:rsidP="00900E57">
      <w:pPr>
        <w:numPr>
          <w:ilvl w:val="0"/>
          <w:numId w:val="1"/>
        </w:numPr>
        <w:tabs>
          <w:tab w:val="clear" w:pos="1440"/>
          <w:tab w:val="num" w:pos="1800"/>
        </w:tabs>
        <w:overflowPunct/>
        <w:autoSpaceDE/>
        <w:adjustRightInd/>
        <w:rPr>
          <w:rFonts w:ascii="Arial" w:hAnsi="Arial" w:cs="Arial"/>
          <w:b/>
          <w:sz w:val="20"/>
        </w:rPr>
      </w:pPr>
      <w:r w:rsidRPr="008B1A2D">
        <w:rPr>
          <w:rFonts w:ascii="Arial" w:hAnsi="Arial" w:cs="Arial"/>
          <w:b/>
          <w:sz w:val="20"/>
        </w:rPr>
        <w:t>2022 Audit</w:t>
      </w:r>
    </w:p>
    <w:p w14:paraId="64812023" w14:textId="77777777" w:rsidR="00900E57" w:rsidRDefault="00900E57" w:rsidP="00900E57">
      <w:pPr>
        <w:overflowPunct/>
        <w:autoSpaceDE/>
        <w:adjustRightInd/>
        <w:rPr>
          <w:rFonts w:ascii="Arial" w:hAnsi="Arial" w:cs="Arial"/>
          <w:b/>
          <w:sz w:val="20"/>
        </w:rPr>
      </w:pPr>
    </w:p>
    <w:p w14:paraId="48BACF08" w14:textId="40822DD7" w:rsidR="00900E57" w:rsidRPr="00227FA1" w:rsidRDefault="00900E57" w:rsidP="00900E57">
      <w:pPr>
        <w:overflowPunct/>
        <w:autoSpaceDE/>
        <w:adjustRightInd/>
        <w:ind w:left="1440"/>
        <w:rPr>
          <w:rFonts w:ascii="Arial" w:hAnsi="Arial" w:cs="Arial"/>
          <w:bCs/>
          <w:sz w:val="20"/>
        </w:rPr>
      </w:pPr>
      <w:r>
        <w:rPr>
          <w:rFonts w:ascii="Arial" w:hAnsi="Arial" w:cs="Arial"/>
          <w:bCs/>
          <w:sz w:val="20"/>
        </w:rPr>
        <w:t xml:space="preserve">Shawn shared the results of NABH’s 2022 audit, which found that </w:t>
      </w:r>
      <w:r w:rsidR="004D4998">
        <w:rPr>
          <w:rFonts w:ascii="Arial" w:hAnsi="Arial" w:cs="Arial"/>
          <w:bCs/>
          <w:sz w:val="20"/>
        </w:rPr>
        <w:t>all</w:t>
      </w:r>
      <w:r>
        <w:rPr>
          <w:rFonts w:ascii="Arial" w:hAnsi="Arial" w:cs="Arial"/>
          <w:bCs/>
          <w:sz w:val="20"/>
        </w:rPr>
        <w:t xml:space="preserve"> the association’s accounting practices were in keeping with generally accepted national accounting standards. The association has adopted new </w:t>
      </w:r>
      <w:r w:rsidRPr="009B0E0D">
        <w:rPr>
          <w:rFonts w:ascii="Arial" w:hAnsi="Arial" w:cs="Arial"/>
          <w:b/>
          <w:sz w:val="20"/>
        </w:rPr>
        <w:t>F</w:t>
      </w:r>
      <w:r>
        <w:rPr>
          <w:rFonts w:ascii="Arial" w:hAnsi="Arial" w:cs="Arial"/>
          <w:bCs/>
          <w:sz w:val="20"/>
        </w:rPr>
        <w:t xml:space="preserve">inancial </w:t>
      </w:r>
      <w:r w:rsidRPr="009B0E0D">
        <w:rPr>
          <w:rFonts w:ascii="Arial" w:hAnsi="Arial" w:cs="Arial"/>
          <w:b/>
          <w:sz w:val="20"/>
        </w:rPr>
        <w:t>A</w:t>
      </w:r>
      <w:r>
        <w:rPr>
          <w:rFonts w:ascii="Arial" w:hAnsi="Arial" w:cs="Arial"/>
          <w:bCs/>
          <w:sz w:val="20"/>
        </w:rPr>
        <w:t xml:space="preserve">ccounting </w:t>
      </w:r>
      <w:r w:rsidRPr="009B0E0D">
        <w:rPr>
          <w:rFonts w:ascii="Arial" w:hAnsi="Arial" w:cs="Arial"/>
          <w:b/>
          <w:sz w:val="20"/>
        </w:rPr>
        <w:t>S</w:t>
      </w:r>
      <w:r>
        <w:rPr>
          <w:rFonts w:ascii="Arial" w:hAnsi="Arial" w:cs="Arial"/>
          <w:bCs/>
          <w:sz w:val="20"/>
        </w:rPr>
        <w:t xml:space="preserve">tandards </w:t>
      </w:r>
      <w:r w:rsidRPr="009B0E0D">
        <w:rPr>
          <w:rFonts w:ascii="Arial" w:hAnsi="Arial" w:cs="Arial"/>
          <w:b/>
          <w:sz w:val="20"/>
        </w:rPr>
        <w:t>B</w:t>
      </w:r>
      <w:r>
        <w:rPr>
          <w:rFonts w:ascii="Arial" w:hAnsi="Arial" w:cs="Arial"/>
          <w:bCs/>
          <w:sz w:val="20"/>
        </w:rPr>
        <w:t xml:space="preserve">oard accounting standards, including ASC 842- Lease Standard Adoption. </w:t>
      </w:r>
    </w:p>
    <w:p w14:paraId="41A54A76" w14:textId="77777777" w:rsidR="00900E57" w:rsidRPr="008B1A2D" w:rsidRDefault="00900E57" w:rsidP="00900E57">
      <w:pPr>
        <w:overflowPunct/>
        <w:autoSpaceDE/>
        <w:adjustRightInd/>
        <w:rPr>
          <w:rFonts w:ascii="Arial" w:hAnsi="Arial" w:cs="Arial"/>
          <w:b/>
          <w:sz w:val="20"/>
        </w:rPr>
      </w:pPr>
    </w:p>
    <w:p w14:paraId="7D266190" w14:textId="77777777" w:rsidR="00900E57" w:rsidRDefault="00900E57" w:rsidP="00900E57">
      <w:pPr>
        <w:numPr>
          <w:ilvl w:val="0"/>
          <w:numId w:val="1"/>
        </w:numPr>
        <w:tabs>
          <w:tab w:val="clear" w:pos="1440"/>
          <w:tab w:val="num" w:pos="1800"/>
        </w:tabs>
        <w:overflowPunct/>
        <w:autoSpaceDE/>
        <w:adjustRightInd/>
        <w:rPr>
          <w:rFonts w:ascii="Arial" w:hAnsi="Arial" w:cs="Arial"/>
          <w:b/>
          <w:sz w:val="20"/>
        </w:rPr>
      </w:pPr>
      <w:r w:rsidRPr="008B1A2D">
        <w:rPr>
          <w:rFonts w:ascii="Arial" w:hAnsi="Arial" w:cs="Arial"/>
          <w:b/>
          <w:sz w:val="20"/>
        </w:rPr>
        <w:t xml:space="preserve">NABH </w:t>
      </w:r>
      <w:r>
        <w:rPr>
          <w:rFonts w:ascii="Arial" w:hAnsi="Arial" w:cs="Arial"/>
          <w:b/>
          <w:sz w:val="20"/>
        </w:rPr>
        <w:t>2023 Advocacy Priorities &amp;</w:t>
      </w:r>
      <w:r w:rsidRPr="008B1A2D">
        <w:rPr>
          <w:rFonts w:ascii="Arial" w:hAnsi="Arial" w:cs="Arial"/>
          <w:b/>
          <w:sz w:val="20"/>
        </w:rPr>
        <w:t xml:space="preserve"> Government Relations Network</w:t>
      </w:r>
    </w:p>
    <w:p w14:paraId="4479C334" w14:textId="77777777" w:rsidR="00900E57" w:rsidRDefault="00900E57" w:rsidP="00900E57">
      <w:pPr>
        <w:overflowPunct/>
        <w:autoSpaceDE/>
        <w:adjustRightInd/>
        <w:rPr>
          <w:rFonts w:ascii="Arial" w:hAnsi="Arial" w:cs="Arial"/>
          <w:b/>
          <w:sz w:val="20"/>
        </w:rPr>
      </w:pPr>
    </w:p>
    <w:p w14:paraId="0E427F54" w14:textId="77777777" w:rsidR="00900E57" w:rsidRDefault="00900E57" w:rsidP="00900E57">
      <w:pPr>
        <w:overflowPunct/>
        <w:autoSpaceDE/>
        <w:adjustRightInd/>
        <w:ind w:left="1440"/>
        <w:rPr>
          <w:rFonts w:ascii="Arial" w:hAnsi="Arial" w:cs="Arial"/>
          <w:bCs/>
          <w:sz w:val="20"/>
        </w:rPr>
      </w:pPr>
      <w:r>
        <w:rPr>
          <w:rFonts w:ascii="Arial" w:hAnsi="Arial" w:cs="Arial"/>
          <w:bCs/>
          <w:sz w:val="20"/>
        </w:rPr>
        <w:t xml:space="preserve">Shawn said NABH released its 2023 Advocacy Priorities, which identify the association’s legislative and regulatory priorities for the year. </w:t>
      </w:r>
    </w:p>
    <w:p w14:paraId="281B8066" w14:textId="77777777" w:rsidR="00900E57" w:rsidRDefault="00900E57" w:rsidP="00900E57">
      <w:pPr>
        <w:overflowPunct/>
        <w:autoSpaceDE/>
        <w:adjustRightInd/>
        <w:ind w:left="1440"/>
        <w:rPr>
          <w:rFonts w:ascii="Arial" w:hAnsi="Arial" w:cs="Arial"/>
          <w:bCs/>
          <w:sz w:val="20"/>
        </w:rPr>
      </w:pPr>
    </w:p>
    <w:p w14:paraId="42199C73" w14:textId="77777777" w:rsidR="00900E57" w:rsidRDefault="00900E57" w:rsidP="00900E57">
      <w:pPr>
        <w:overflowPunct/>
        <w:autoSpaceDE/>
        <w:adjustRightInd/>
        <w:ind w:left="1440"/>
        <w:rPr>
          <w:rFonts w:ascii="Arial" w:hAnsi="Arial" w:cs="Arial"/>
          <w:bCs/>
          <w:sz w:val="20"/>
        </w:rPr>
      </w:pPr>
      <w:r>
        <w:rPr>
          <w:rFonts w:ascii="Arial" w:hAnsi="Arial" w:cs="Arial"/>
          <w:bCs/>
          <w:sz w:val="20"/>
        </w:rPr>
        <w:t xml:space="preserve">NABH launched the Government Relations network on April 5. NABH will conduct these monthly calls to disseminate information, find co-sponsors for bills, and identify action items. </w:t>
      </w:r>
    </w:p>
    <w:p w14:paraId="6B93C7FC" w14:textId="77777777" w:rsidR="00900E57" w:rsidRDefault="00900E57" w:rsidP="00900E57">
      <w:pPr>
        <w:overflowPunct/>
        <w:autoSpaceDE/>
        <w:adjustRightInd/>
        <w:ind w:left="1440"/>
        <w:rPr>
          <w:rFonts w:ascii="Arial" w:hAnsi="Arial" w:cs="Arial"/>
          <w:bCs/>
          <w:sz w:val="20"/>
        </w:rPr>
      </w:pPr>
    </w:p>
    <w:p w14:paraId="1F6BF114" w14:textId="77777777" w:rsidR="00900E57" w:rsidRDefault="00900E57" w:rsidP="00900E57">
      <w:pPr>
        <w:overflowPunct/>
        <w:autoSpaceDE/>
        <w:adjustRightInd/>
        <w:ind w:left="1440"/>
        <w:rPr>
          <w:rFonts w:ascii="Arial" w:hAnsi="Arial" w:cs="Arial"/>
          <w:bCs/>
          <w:sz w:val="20"/>
        </w:rPr>
      </w:pPr>
      <w:r>
        <w:rPr>
          <w:rFonts w:ascii="Arial" w:hAnsi="Arial" w:cs="Arial"/>
          <w:bCs/>
          <w:sz w:val="20"/>
        </w:rPr>
        <w:t>In conjunction with the network’s launch, NABH released its Contingency Management fact sheet and Behavioral Health IT draft legislation. The association worked with the BHIT coalition on the latter document.</w:t>
      </w:r>
    </w:p>
    <w:p w14:paraId="0B0C60B7" w14:textId="77777777" w:rsidR="00900E57" w:rsidRDefault="00900E57" w:rsidP="00900E57">
      <w:pPr>
        <w:overflowPunct/>
        <w:autoSpaceDE/>
        <w:adjustRightInd/>
        <w:ind w:left="1440"/>
        <w:rPr>
          <w:rFonts w:ascii="Arial" w:hAnsi="Arial" w:cs="Arial"/>
          <w:bCs/>
          <w:sz w:val="20"/>
        </w:rPr>
      </w:pPr>
    </w:p>
    <w:p w14:paraId="74E6F4CA" w14:textId="629AE15F" w:rsidR="00900E57" w:rsidRDefault="00900E57" w:rsidP="00900E57">
      <w:pPr>
        <w:overflowPunct/>
        <w:autoSpaceDE/>
        <w:adjustRightInd/>
        <w:ind w:left="1440"/>
        <w:rPr>
          <w:rFonts w:ascii="Arial" w:hAnsi="Arial" w:cs="Arial"/>
          <w:bCs/>
          <w:sz w:val="20"/>
        </w:rPr>
      </w:pPr>
      <w:r>
        <w:rPr>
          <w:rFonts w:ascii="Arial" w:hAnsi="Arial" w:cs="Arial"/>
          <w:bCs/>
          <w:sz w:val="20"/>
        </w:rPr>
        <w:t xml:space="preserve">Shawn reported that Sens. Ron Wyden (D-Ore.) and Patty Murray (D-Wash.) have sent some </w:t>
      </w:r>
      <w:r w:rsidR="00226AE3">
        <w:rPr>
          <w:rFonts w:ascii="Arial" w:hAnsi="Arial" w:cs="Arial"/>
          <w:bCs/>
          <w:sz w:val="20"/>
        </w:rPr>
        <w:t xml:space="preserve">NABH </w:t>
      </w:r>
      <w:r>
        <w:rPr>
          <w:rFonts w:ascii="Arial" w:hAnsi="Arial" w:cs="Arial"/>
          <w:bCs/>
          <w:sz w:val="20"/>
        </w:rPr>
        <w:t xml:space="preserve">members additional requests, although the intention behind those requests remains unclear.  </w:t>
      </w:r>
    </w:p>
    <w:p w14:paraId="41A96460" w14:textId="77777777" w:rsidR="00226AE3" w:rsidRPr="00227FA1" w:rsidRDefault="00226AE3" w:rsidP="00900E57">
      <w:pPr>
        <w:overflowPunct/>
        <w:autoSpaceDE/>
        <w:adjustRightInd/>
        <w:ind w:left="1440"/>
        <w:rPr>
          <w:rFonts w:ascii="Arial" w:hAnsi="Arial" w:cs="Arial"/>
          <w:bCs/>
          <w:sz w:val="20"/>
        </w:rPr>
      </w:pPr>
    </w:p>
    <w:p w14:paraId="5B49DEF2" w14:textId="77777777" w:rsidR="00900E57" w:rsidRPr="008B1A2D" w:rsidRDefault="00900E57" w:rsidP="00900E57">
      <w:pPr>
        <w:overflowPunct/>
        <w:autoSpaceDE/>
        <w:adjustRightInd/>
        <w:ind w:left="1440"/>
        <w:rPr>
          <w:rFonts w:ascii="Arial" w:hAnsi="Arial" w:cs="Arial"/>
          <w:b/>
          <w:sz w:val="20"/>
        </w:rPr>
      </w:pPr>
    </w:p>
    <w:p w14:paraId="3BFAC39B" w14:textId="36755D6A" w:rsidR="00900E57" w:rsidRDefault="00900E57" w:rsidP="00900E57">
      <w:pPr>
        <w:numPr>
          <w:ilvl w:val="0"/>
          <w:numId w:val="1"/>
        </w:numPr>
        <w:tabs>
          <w:tab w:val="clear" w:pos="1440"/>
          <w:tab w:val="num" w:pos="1800"/>
        </w:tabs>
        <w:overflowPunct/>
        <w:autoSpaceDE/>
        <w:adjustRightInd/>
        <w:rPr>
          <w:rFonts w:ascii="Arial" w:hAnsi="Arial" w:cs="Arial"/>
          <w:b/>
          <w:sz w:val="20"/>
        </w:rPr>
      </w:pPr>
      <w:r w:rsidRPr="008B1A2D">
        <w:rPr>
          <w:rFonts w:ascii="Arial" w:hAnsi="Arial" w:cs="Arial"/>
          <w:b/>
          <w:sz w:val="20"/>
        </w:rPr>
        <w:lastRenderedPageBreak/>
        <w:t>Norcross/Markey: NABH’s Response</w:t>
      </w:r>
    </w:p>
    <w:p w14:paraId="1E2ED50C" w14:textId="77777777" w:rsidR="00900E57" w:rsidRDefault="00900E57" w:rsidP="00900E57">
      <w:pPr>
        <w:overflowPunct/>
        <w:autoSpaceDE/>
        <w:adjustRightInd/>
        <w:rPr>
          <w:rFonts w:ascii="Arial" w:hAnsi="Arial" w:cs="Arial"/>
          <w:b/>
          <w:sz w:val="20"/>
        </w:rPr>
      </w:pPr>
    </w:p>
    <w:p w14:paraId="05AFE8A2" w14:textId="1A7C87E0" w:rsidR="00900E57" w:rsidRPr="00227FA1" w:rsidRDefault="00900E57" w:rsidP="00900E57">
      <w:pPr>
        <w:overflowPunct/>
        <w:autoSpaceDE/>
        <w:adjustRightInd/>
        <w:ind w:left="1440"/>
        <w:rPr>
          <w:rFonts w:ascii="Arial" w:hAnsi="Arial" w:cs="Arial"/>
          <w:bCs/>
          <w:sz w:val="20"/>
        </w:rPr>
      </w:pPr>
      <w:r>
        <w:rPr>
          <w:rFonts w:ascii="Arial" w:hAnsi="Arial" w:cs="Arial"/>
          <w:bCs/>
          <w:sz w:val="20"/>
        </w:rPr>
        <w:t>NABH is displeased by the stigmatizing language that Rep. Donald Norcross (D-N.J.) used describing opioid treatment programs. NABH sent a</w:t>
      </w:r>
      <w:hyperlink r:id="rId6" w:history="1">
        <w:r w:rsidRPr="00804CB2">
          <w:rPr>
            <w:rStyle w:val="Hyperlink"/>
            <w:rFonts w:ascii="Arial" w:hAnsi="Arial" w:cs="Arial"/>
            <w:bCs/>
            <w:sz w:val="20"/>
          </w:rPr>
          <w:t xml:space="preserve"> letter</w:t>
        </w:r>
      </w:hyperlink>
      <w:r>
        <w:rPr>
          <w:rFonts w:ascii="Arial" w:hAnsi="Arial" w:cs="Arial"/>
          <w:bCs/>
          <w:sz w:val="20"/>
        </w:rPr>
        <w:t xml:space="preserve"> to both Rep. Norcross and Rep. Edward Markey (D-Mass.) about the effects of these stigmatizing comments and our recommendations. NABH intends to use the letter as a springboard in discussions with other congressional leaders and staff.</w:t>
      </w:r>
    </w:p>
    <w:p w14:paraId="487C35F7" w14:textId="77777777" w:rsidR="00900E57" w:rsidRPr="008B1A2D" w:rsidRDefault="00900E57" w:rsidP="00900E57">
      <w:pPr>
        <w:pStyle w:val="ListParagraph"/>
        <w:rPr>
          <w:rFonts w:ascii="Arial" w:hAnsi="Arial" w:cs="Arial"/>
          <w:b/>
          <w:sz w:val="20"/>
        </w:rPr>
      </w:pPr>
    </w:p>
    <w:p w14:paraId="602F1786" w14:textId="77777777" w:rsidR="00900E57" w:rsidRDefault="00900E57" w:rsidP="00900E57">
      <w:pPr>
        <w:pStyle w:val="ListParagraph"/>
        <w:numPr>
          <w:ilvl w:val="0"/>
          <w:numId w:val="1"/>
        </w:numPr>
        <w:tabs>
          <w:tab w:val="clear" w:pos="1440"/>
          <w:tab w:val="left" w:pos="-720"/>
          <w:tab w:val="num" w:pos="1800"/>
        </w:tabs>
        <w:suppressAutoHyphens/>
        <w:rPr>
          <w:rFonts w:ascii="Arial" w:hAnsi="Arial" w:cs="Arial"/>
          <w:b/>
          <w:sz w:val="20"/>
        </w:rPr>
      </w:pPr>
      <w:r w:rsidRPr="008B1A2D">
        <w:rPr>
          <w:rFonts w:ascii="Arial" w:hAnsi="Arial" w:cs="Arial"/>
          <w:b/>
          <w:sz w:val="20"/>
        </w:rPr>
        <w:t>Legislative Update</w:t>
      </w:r>
    </w:p>
    <w:p w14:paraId="09A664DF" w14:textId="77777777" w:rsidR="00900E57" w:rsidRDefault="00900E57" w:rsidP="00900E57">
      <w:pPr>
        <w:tabs>
          <w:tab w:val="left" w:pos="-720"/>
        </w:tabs>
        <w:suppressAutoHyphens/>
        <w:rPr>
          <w:rFonts w:ascii="Arial" w:hAnsi="Arial" w:cs="Arial"/>
          <w:b/>
          <w:sz w:val="20"/>
        </w:rPr>
      </w:pPr>
    </w:p>
    <w:p w14:paraId="4F7875C9" w14:textId="77777777" w:rsidR="00900E57" w:rsidRDefault="00900E57" w:rsidP="00900E57">
      <w:pPr>
        <w:tabs>
          <w:tab w:val="left" w:pos="-720"/>
        </w:tabs>
        <w:suppressAutoHyphens/>
        <w:ind w:left="1440"/>
        <w:rPr>
          <w:rFonts w:ascii="Arial" w:hAnsi="Arial" w:cs="Arial"/>
          <w:bCs/>
          <w:sz w:val="20"/>
        </w:rPr>
      </w:pPr>
      <w:r>
        <w:rPr>
          <w:rFonts w:ascii="Arial" w:hAnsi="Arial" w:cs="Arial"/>
          <w:bCs/>
          <w:sz w:val="20"/>
        </w:rPr>
        <w:t xml:space="preserve">Shawn said the House is expected to pass all 13 appropriations bills then recess until April 17. </w:t>
      </w:r>
    </w:p>
    <w:p w14:paraId="5B4B7164" w14:textId="77777777" w:rsidR="00900E57" w:rsidRDefault="00900E57" w:rsidP="00900E57">
      <w:pPr>
        <w:tabs>
          <w:tab w:val="left" w:pos="-720"/>
        </w:tabs>
        <w:suppressAutoHyphens/>
        <w:ind w:left="1440"/>
        <w:rPr>
          <w:rFonts w:ascii="Arial" w:hAnsi="Arial" w:cs="Arial"/>
          <w:bCs/>
          <w:sz w:val="20"/>
        </w:rPr>
      </w:pPr>
    </w:p>
    <w:p w14:paraId="7849ED34" w14:textId="77777777" w:rsidR="00900E57" w:rsidRDefault="00900E57" w:rsidP="00900E57">
      <w:pPr>
        <w:tabs>
          <w:tab w:val="left" w:pos="-720"/>
        </w:tabs>
        <w:suppressAutoHyphens/>
        <w:ind w:left="1440"/>
        <w:rPr>
          <w:rFonts w:ascii="Arial" w:hAnsi="Arial" w:cs="Arial"/>
          <w:bCs/>
          <w:sz w:val="20"/>
        </w:rPr>
      </w:pPr>
      <w:r>
        <w:rPr>
          <w:rFonts w:ascii="Arial" w:hAnsi="Arial" w:cs="Arial"/>
          <w:bCs/>
          <w:sz w:val="20"/>
        </w:rPr>
        <w:t xml:space="preserve">MedPAC scheduled a public meeting April 13-14. </w:t>
      </w:r>
    </w:p>
    <w:p w14:paraId="637B3E9C" w14:textId="77777777" w:rsidR="00900E57" w:rsidRDefault="00900E57" w:rsidP="00226AE3">
      <w:pPr>
        <w:tabs>
          <w:tab w:val="left" w:pos="-720"/>
        </w:tabs>
        <w:suppressAutoHyphens/>
        <w:rPr>
          <w:rFonts w:ascii="Arial" w:hAnsi="Arial" w:cs="Arial"/>
          <w:bCs/>
          <w:sz w:val="20"/>
        </w:rPr>
      </w:pPr>
    </w:p>
    <w:p w14:paraId="0A1DCD41" w14:textId="77777777" w:rsidR="00900E57" w:rsidRPr="0016795A" w:rsidRDefault="00900E57" w:rsidP="00900E57">
      <w:pPr>
        <w:tabs>
          <w:tab w:val="left" w:pos="-720"/>
        </w:tabs>
        <w:suppressAutoHyphens/>
        <w:ind w:left="1440"/>
        <w:rPr>
          <w:rFonts w:ascii="Arial" w:hAnsi="Arial" w:cs="Arial"/>
          <w:bCs/>
          <w:sz w:val="20"/>
        </w:rPr>
      </w:pPr>
      <w:r>
        <w:rPr>
          <w:rFonts w:ascii="Arial" w:hAnsi="Arial" w:cs="Arial"/>
          <w:bCs/>
          <w:sz w:val="20"/>
        </w:rPr>
        <w:t xml:space="preserve">The Senate HELP Committee is developing bipartisan workforce legislation. NABH supports provisions such as the Federal Medical Assistance Percentage (FMAP) 10% bump to Medicaid for states that implement a scholarship fund. To receive the FMAP bump, states must demonstrate successful private sector partnerships that channels students through the education pipeline using the scholarship funds. Additional provisions include reauthorizing the Health Service Corps scholarship loan repayment program and doubling the funds available to $625 million; using Pell Grant funds for medical assistant training programs; increasing wages for direct support professionals in institutions and the community; and increasing the allowed number of qualified foreign clinicians in the United States. </w:t>
      </w:r>
    </w:p>
    <w:p w14:paraId="3457DD47" w14:textId="77777777" w:rsidR="00900E57" w:rsidRPr="008B1A2D" w:rsidRDefault="00900E57" w:rsidP="00900E57">
      <w:pPr>
        <w:pStyle w:val="ListParagraph"/>
        <w:rPr>
          <w:rFonts w:ascii="Arial" w:hAnsi="Arial" w:cs="Arial"/>
          <w:b/>
          <w:sz w:val="20"/>
        </w:rPr>
      </w:pPr>
    </w:p>
    <w:p w14:paraId="29D0BC25" w14:textId="77777777" w:rsidR="00900E57" w:rsidRPr="008B1A2D" w:rsidRDefault="00900E57" w:rsidP="00900E57">
      <w:pPr>
        <w:numPr>
          <w:ilvl w:val="0"/>
          <w:numId w:val="1"/>
        </w:numPr>
        <w:tabs>
          <w:tab w:val="clear" w:pos="1440"/>
          <w:tab w:val="num" w:pos="1800"/>
        </w:tabs>
        <w:overflowPunct/>
        <w:autoSpaceDE/>
        <w:adjustRightInd/>
        <w:rPr>
          <w:rFonts w:ascii="Arial" w:hAnsi="Arial" w:cs="Arial"/>
          <w:b/>
          <w:sz w:val="20"/>
        </w:rPr>
      </w:pPr>
      <w:r w:rsidRPr="008B1A2D">
        <w:rPr>
          <w:rFonts w:ascii="Arial" w:hAnsi="Arial" w:cs="Arial"/>
          <w:b/>
          <w:sz w:val="20"/>
        </w:rPr>
        <w:t>Regulatory Update</w:t>
      </w:r>
    </w:p>
    <w:p w14:paraId="47CE98A1" w14:textId="77777777" w:rsidR="00900E57" w:rsidRDefault="00900E57" w:rsidP="00900E57">
      <w:pPr>
        <w:pStyle w:val="ListParagraph"/>
        <w:rPr>
          <w:rFonts w:ascii="Arial" w:hAnsi="Arial" w:cs="Arial"/>
          <w:b/>
          <w:sz w:val="20"/>
        </w:rPr>
      </w:pPr>
    </w:p>
    <w:p w14:paraId="5BC23360" w14:textId="77777777" w:rsidR="00900E57" w:rsidRDefault="00900E57" w:rsidP="00900E57">
      <w:pPr>
        <w:pStyle w:val="ListParagraph"/>
        <w:ind w:firstLine="720"/>
        <w:rPr>
          <w:rFonts w:ascii="Arial" w:hAnsi="Arial" w:cs="Arial"/>
          <w:bCs/>
          <w:sz w:val="20"/>
        </w:rPr>
      </w:pPr>
      <w:r w:rsidRPr="00DC40E6">
        <w:rPr>
          <w:rFonts w:ascii="Arial" w:hAnsi="Arial" w:cs="Arial"/>
          <w:bCs/>
          <w:sz w:val="20"/>
        </w:rPr>
        <w:t>Shawn</w:t>
      </w:r>
      <w:r>
        <w:rPr>
          <w:rFonts w:ascii="Arial" w:hAnsi="Arial" w:cs="Arial"/>
          <w:bCs/>
          <w:sz w:val="20"/>
        </w:rPr>
        <w:t xml:space="preserve"> updated the EC about important regulatory proposals.</w:t>
      </w:r>
    </w:p>
    <w:p w14:paraId="4439D061" w14:textId="77777777" w:rsidR="00900E57" w:rsidRPr="00DC40E6" w:rsidRDefault="00900E57" w:rsidP="00900E57">
      <w:pPr>
        <w:pStyle w:val="ListParagraph"/>
        <w:ind w:firstLine="720"/>
        <w:rPr>
          <w:rFonts w:ascii="Arial" w:hAnsi="Arial" w:cs="Arial"/>
          <w:bCs/>
          <w:sz w:val="20"/>
        </w:rPr>
      </w:pPr>
    </w:p>
    <w:p w14:paraId="78FBDF4B" w14:textId="77777777" w:rsidR="00900E57" w:rsidRDefault="00900E57" w:rsidP="00900E57">
      <w:pPr>
        <w:numPr>
          <w:ilvl w:val="1"/>
          <w:numId w:val="1"/>
        </w:numPr>
        <w:tabs>
          <w:tab w:val="clear" w:pos="1800"/>
          <w:tab w:val="num" w:pos="2520"/>
        </w:tabs>
        <w:overflowPunct/>
        <w:autoSpaceDE/>
        <w:adjustRightInd/>
        <w:ind w:left="2160"/>
        <w:rPr>
          <w:rFonts w:ascii="Arial" w:hAnsi="Arial" w:cs="Arial"/>
          <w:b/>
          <w:sz w:val="20"/>
        </w:rPr>
      </w:pPr>
      <w:r w:rsidRPr="008B1A2D">
        <w:rPr>
          <w:rFonts w:ascii="Arial" w:hAnsi="Arial" w:cs="Arial"/>
          <w:b/>
          <w:sz w:val="20"/>
        </w:rPr>
        <w:t>IPF-PPS Proposed Rule</w:t>
      </w:r>
    </w:p>
    <w:p w14:paraId="71B23A14" w14:textId="77777777" w:rsidR="00900E57" w:rsidRDefault="00900E57" w:rsidP="00900E57">
      <w:pPr>
        <w:overflowPunct/>
        <w:autoSpaceDE/>
        <w:adjustRightInd/>
        <w:ind w:left="360"/>
        <w:rPr>
          <w:rFonts w:ascii="Arial" w:hAnsi="Arial" w:cs="Arial"/>
          <w:b/>
          <w:sz w:val="20"/>
        </w:rPr>
      </w:pPr>
    </w:p>
    <w:p w14:paraId="5D6AF897" w14:textId="77777777" w:rsidR="00900E57" w:rsidRPr="008F3268" w:rsidRDefault="00900E57" w:rsidP="00900E57">
      <w:pPr>
        <w:overflowPunct/>
        <w:autoSpaceDE/>
        <w:adjustRightInd/>
        <w:ind w:left="2160"/>
        <w:rPr>
          <w:rFonts w:ascii="Arial" w:hAnsi="Arial" w:cs="Arial"/>
          <w:bCs/>
          <w:sz w:val="20"/>
        </w:rPr>
      </w:pPr>
      <w:r>
        <w:rPr>
          <w:rFonts w:ascii="Arial" w:hAnsi="Arial" w:cs="Arial"/>
          <w:bCs/>
          <w:sz w:val="20"/>
        </w:rPr>
        <w:t>The proposed rule i</w:t>
      </w:r>
      <w:r w:rsidRPr="008F3268">
        <w:rPr>
          <w:rFonts w:ascii="Arial" w:hAnsi="Arial" w:cs="Arial"/>
          <w:bCs/>
          <w:sz w:val="20"/>
        </w:rPr>
        <w:t>ncrease</w:t>
      </w:r>
      <w:r>
        <w:rPr>
          <w:rFonts w:ascii="Arial" w:hAnsi="Arial" w:cs="Arial"/>
          <w:bCs/>
          <w:sz w:val="20"/>
        </w:rPr>
        <w:t xml:space="preserve">s </w:t>
      </w:r>
      <w:r w:rsidRPr="008F3268">
        <w:rPr>
          <w:rFonts w:ascii="Arial" w:hAnsi="Arial" w:cs="Arial"/>
          <w:bCs/>
          <w:sz w:val="20"/>
        </w:rPr>
        <w:t>payments</w:t>
      </w:r>
      <w:r>
        <w:rPr>
          <w:rFonts w:ascii="Arial" w:hAnsi="Arial" w:cs="Arial"/>
          <w:b/>
          <w:sz w:val="20"/>
        </w:rPr>
        <w:t xml:space="preserve"> </w:t>
      </w:r>
      <w:r w:rsidRPr="008F3268">
        <w:rPr>
          <w:rFonts w:ascii="Arial" w:hAnsi="Arial" w:cs="Arial"/>
          <w:bCs/>
          <w:sz w:val="20"/>
        </w:rPr>
        <w:t xml:space="preserve">by 1.3% </w:t>
      </w:r>
      <w:r>
        <w:rPr>
          <w:rFonts w:ascii="Arial" w:hAnsi="Arial" w:cs="Arial"/>
          <w:bCs/>
          <w:sz w:val="20"/>
        </w:rPr>
        <w:t>for FY 2024, which is lower than other updates. It also modifies the excluded unit regulation to allow payment if notice is provided to the Centers for Medicare &amp; Medicaid Services (CMS) 30 days in advance. CMS is also proposing to revise its methodology for determining IPF PPS payment rates for FY 2025 and beyond. It proposes to codify the IPFQRP requirements. Comments on the proposed rule are due June 5.</w:t>
      </w:r>
    </w:p>
    <w:p w14:paraId="6BCFA546" w14:textId="77777777" w:rsidR="00900E57" w:rsidRPr="008B1A2D" w:rsidRDefault="00900E57" w:rsidP="00900E57">
      <w:pPr>
        <w:overflowPunct/>
        <w:autoSpaceDE/>
        <w:adjustRightInd/>
        <w:ind w:left="2160"/>
        <w:rPr>
          <w:rFonts w:ascii="Arial" w:hAnsi="Arial" w:cs="Arial"/>
          <w:b/>
          <w:sz w:val="20"/>
        </w:rPr>
      </w:pPr>
    </w:p>
    <w:p w14:paraId="18046844" w14:textId="77777777" w:rsidR="00900E57" w:rsidRDefault="00900E57" w:rsidP="00900E57">
      <w:pPr>
        <w:numPr>
          <w:ilvl w:val="1"/>
          <w:numId w:val="1"/>
        </w:numPr>
        <w:tabs>
          <w:tab w:val="clear" w:pos="1800"/>
          <w:tab w:val="num" w:pos="2520"/>
        </w:tabs>
        <w:overflowPunct/>
        <w:autoSpaceDE/>
        <w:adjustRightInd/>
        <w:ind w:left="2160"/>
        <w:rPr>
          <w:rFonts w:ascii="Arial" w:hAnsi="Arial" w:cs="Arial"/>
          <w:b/>
          <w:sz w:val="20"/>
        </w:rPr>
      </w:pPr>
      <w:r w:rsidRPr="008B1A2D">
        <w:rPr>
          <w:rFonts w:ascii="Arial" w:hAnsi="Arial" w:cs="Arial"/>
          <w:b/>
          <w:sz w:val="20"/>
        </w:rPr>
        <w:t>DEA Telehealth Proposed Rule</w:t>
      </w:r>
    </w:p>
    <w:p w14:paraId="7C20B9AA" w14:textId="77777777" w:rsidR="00900E57" w:rsidRDefault="00900E57" w:rsidP="00900E57">
      <w:pPr>
        <w:overflowPunct/>
        <w:autoSpaceDE/>
        <w:adjustRightInd/>
        <w:ind w:left="1800"/>
        <w:rPr>
          <w:rFonts w:ascii="Arial" w:hAnsi="Arial" w:cs="Arial"/>
          <w:b/>
          <w:sz w:val="20"/>
        </w:rPr>
      </w:pPr>
    </w:p>
    <w:p w14:paraId="0E7F9B1C" w14:textId="77777777" w:rsidR="00900E57" w:rsidRDefault="00900E57" w:rsidP="00900E57">
      <w:pPr>
        <w:overflowPunct/>
        <w:autoSpaceDE/>
        <w:adjustRightInd/>
        <w:ind w:left="2160"/>
        <w:rPr>
          <w:rFonts w:ascii="Arial" w:hAnsi="Arial" w:cs="Arial"/>
          <w:bCs/>
          <w:sz w:val="20"/>
        </w:rPr>
      </w:pPr>
      <w:r>
        <w:rPr>
          <w:rFonts w:ascii="Arial" w:hAnsi="Arial" w:cs="Arial"/>
          <w:bCs/>
          <w:sz w:val="20"/>
        </w:rPr>
        <w:t xml:space="preserve">NABH submitted comments that reflect our diverse membership. We are concerned that DEA’s telehealth proposed rule would scale back the developments in access to care that the expanded telehealth flexibilities during the COVID-19 Public Health Emergency (PHE) provided. </w:t>
      </w:r>
    </w:p>
    <w:p w14:paraId="506E2776" w14:textId="77777777" w:rsidR="00900E57" w:rsidRDefault="00900E57" w:rsidP="00900E57">
      <w:pPr>
        <w:overflowPunct/>
        <w:autoSpaceDE/>
        <w:adjustRightInd/>
        <w:ind w:left="2160"/>
        <w:rPr>
          <w:rFonts w:ascii="Arial" w:hAnsi="Arial" w:cs="Arial"/>
          <w:bCs/>
          <w:sz w:val="20"/>
        </w:rPr>
      </w:pPr>
    </w:p>
    <w:p w14:paraId="2CECACBD" w14:textId="77777777" w:rsidR="00900E57" w:rsidRPr="00E41739" w:rsidRDefault="00900E57" w:rsidP="00900E57">
      <w:pPr>
        <w:pStyle w:val="ListParagraph"/>
        <w:numPr>
          <w:ilvl w:val="1"/>
          <w:numId w:val="1"/>
        </w:numPr>
        <w:tabs>
          <w:tab w:val="clear" w:pos="1800"/>
          <w:tab w:val="num" w:pos="2520"/>
        </w:tabs>
        <w:overflowPunct/>
        <w:autoSpaceDE/>
        <w:adjustRightInd/>
        <w:ind w:left="2160"/>
        <w:rPr>
          <w:rFonts w:ascii="Arial" w:hAnsi="Arial" w:cs="Arial"/>
          <w:b/>
          <w:sz w:val="20"/>
        </w:rPr>
      </w:pPr>
      <w:r w:rsidRPr="00E41739">
        <w:rPr>
          <w:rFonts w:ascii="Arial" w:hAnsi="Arial" w:cs="Arial"/>
          <w:b/>
          <w:sz w:val="20"/>
        </w:rPr>
        <w:t>Medicare Advantage</w:t>
      </w:r>
      <w:r>
        <w:rPr>
          <w:rFonts w:ascii="Arial" w:hAnsi="Arial" w:cs="Arial"/>
          <w:b/>
          <w:sz w:val="20"/>
        </w:rPr>
        <w:t xml:space="preserve"> final rule</w:t>
      </w:r>
    </w:p>
    <w:p w14:paraId="0EABA475" w14:textId="77777777" w:rsidR="00900E57" w:rsidRDefault="00900E57" w:rsidP="00900E57">
      <w:pPr>
        <w:overflowPunct/>
        <w:autoSpaceDE/>
        <w:adjustRightInd/>
        <w:ind w:left="2160"/>
        <w:rPr>
          <w:rFonts w:ascii="Arial" w:hAnsi="Arial" w:cs="Arial"/>
          <w:b/>
          <w:sz w:val="20"/>
        </w:rPr>
      </w:pPr>
    </w:p>
    <w:p w14:paraId="69D0CF27" w14:textId="29C7BE49" w:rsidR="00900E57" w:rsidRDefault="00900E57" w:rsidP="00900E57">
      <w:pPr>
        <w:overflowPunct/>
        <w:autoSpaceDE/>
        <w:adjustRightInd/>
        <w:ind w:left="2160"/>
        <w:rPr>
          <w:rFonts w:ascii="Arial" w:hAnsi="Arial" w:cs="Arial"/>
          <w:bCs/>
          <w:sz w:val="20"/>
        </w:rPr>
      </w:pPr>
      <w:r>
        <w:rPr>
          <w:rFonts w:ascii="Arial" w:hAnsi="Arial" w:cs="Arial"/>
          <w:bCs/>
          <w:sz w:val="20"/>
        </w:rPr>
        <w:t>NABH is pleased with the expanded</w:t>
      </w:r>
      <w:r w:rsidR="00226AE3">
        <w:rPr>
          <w:rFonts w:ascii="Arial" w:hAnsi="Arial" w:cs="Arial"/>
          <w:bCs/>
          <w:sz w:val="20"/>
        </w:rPr>
        <w:t xml:space="preserve"> Medicare Advantage</w:t>
      </w:r>
      <w:r>
        <w:rPr>
          <w:rFonts w:ascii="Arial" w:hAnsi="Arial" w:cs="Arial"/>
          <w:bCs/>
          <w:sz w:val="20"/>
        </w:rPr>
        <w:t xml:space="preserve"> </w:t>
      </w:r>
      <w:r w:rsidR="00226AE3">
        <w:rPr>
          <w:rFonts w:ascii="Arial" w:hAnsi="Arial" w:cs="Arial"/>
          <w:bCs/>
          <w:sz w:val="20"/>
        </w:rPr>
        <w:t>(</w:t>
      </w:r>
      <w:r>
        <w:rPr>
          <w:rFonts w:ascii="Arial" w:hAnsi="Arial" w:cs="Arial"/>
          <w:bCs/>
          <w:sz w:val="20"/>
        </w:rPr>
        <w:t>MA</w:t>
      </w:r>
      <w:r w:rsidR="00226AE3">
        <w:rPr>
          <w:rFonts w:ascii="Arial" w:hAnsi="Arial" w:cs="Arial"/>
          <w:bCs/>
          <w:sz w:val="20"/>
        </w:rPr>
        <w:t>)</w:t>
      </w:r>
      <w:r>
        <w:rPr>
          <w:rFonts w:ascii="Arial" w:hAnsi="Arial" w:cs="Arial"/>
          <w:bCs/>
          <w:sz w:val="20"/>
        </w:rPr>
        <w:t xml:space="preserve"> Final Rule. Some provisions NABH supported were cracking down on MA insurers with a record of inappropriate denial of care; plans cannot reject coverage otherwise covered by traditional Medicare; plans cannot use algorithms to refuse care; plans must create a utilization management committee that reviews policies, yearly; criteria must be based on relevant evidence and widely used treatment guidelines or clinical literature made publicly available to CMS, enrollees, and providers. </w:t>
      </w:r>
    </w:p>
    <w:p w14:paraId="0AA80348" w14:textId="77777777" w:rsidR="00900E57" w:rsidRPr="00E41739" w:rsidRDefault="00900E57" w:rsidP="00900E57">
      <w:pPr>
        <w:overflowPunct/>
        <w:autoSpaceDE/>
        <w:adjustRightInd/>
        <w:ind w:left="2160"/>
        <w:rPr>
          <w:rFonts w:ascii="Arial" w:hAnsi="Arial" w:cs="Arial"/>
          <w:b/>
          <w:sz w:val="20"/>
        </w:rPr>
      </w:pPr>
    </w:p>
    <w:p w14:paraId="6A929B26" w14:textId="77777777" w:rsidR="00900E57" w:rsidRPr="00E41739" w:rsidRDefault="00900E57" w:rsidP="00900E57">
      <w:pPr>
        <w:pStyle w:val="ListParagraph"/>
        <w:numPr>
          <w:ilvl w:val="1"/>
          <w:numId w:val="1"/>
        </w:numPr>
        <w:tabs>
          <w:tab w:val="clear" w:pos="1800"/>
          <w:tab w:val="num" w:pos="2520"/>
        </w:tabs>
        <w:overflowPunct/>
        <w:autoSpaceDE/>
        <w:adjustRightInd/>
        <w:ind w:left="2160"/>
        <w:rPr>
          <w:rFonts w:ascii="Arial" w:hAnsi="Arial" w:cs="Arial"/>
          <w:b/>
          <w:sz w:val="20"/>
        </w:rPr>
      </w:pPr>
      <w:r w:rsidRPr="00E41739">
        <w:rPr>
          <w:rFonts w:ascii="Arial" w:hAnsi="Arial" w:cs="Arial"/>
          <w:b/>
          <w:sz w:val="20"/>
        </w:rPr>
        <w:t>END of PHE</w:t>
      </w:r>
    </w:p>
    <w:p w14:paraId="1556F146" w14:textId="77777777" w:rsidR="00900E57" w:rsidRDefault="00900E57" w:rsidP="00900E57">
      <w:pPr>
        <w:overflowPunct/>
        <w:autoSpaceDE/>
        <w:adjustRightInd/>
        <w:ind w:left="2160"/>
        <w:rPr>
          <w:rFonts w:ascii="Arial" w:hAnsi="Arial" w:cs="Arial"/>
          <w:b/>
          <w:sz w:val="20"/>
        </w:rPr>
      </w:pPr>
    </w:p>
    <w:p w14:paraId="4372D68F" w14:textId="77777777" w:rsidR="00900E57" w:rsidRDefault="00900E57" w:rsidP="00900E57">
      <w:pPr>
        <w:overflowPunct/>
        <w:autoSpaceDE/>
        <w:adjustRightInd/>
        <w:ind w:left="2160"/>
        <w:rPr>
          <w:rFonts w:ascii="Arial" w:hAnsi="Arial" w:cs="Arial"/>
          <w:bCs/>
          <w:sz w:val="20"/>
        </w:rPr>
      </w:pPr>
      <w:r>
        <w:rPr>
          <w:rFonts w:ascii="Arial" w:hAnsi="Arial" w:cs="Arial"/>
          <w:bCs/>
          <w:sz w:val="20"/>
        </w:rPr>
        <w:t xml:space="preserve">Shawn informed the committee that the COVID-19 PHE will end May 11, 2023. The Biden administration plans to release guidance about the transition. </w:t>
      </w:r>
    </w:p>
    <w:p w14:paraId="279DF468" w14:textId="77777777" w:rsidR="00900E57" w:rsidRPr="00580C57" w:rsidRDefault="00900E57" w:rsidP="00900E57">
      <w:pPr>
        <w:overflowPunct/>
        <w:autoSpaceDE/>
        <w:adjustRightInd/>
        <w:ind w:left="2160"/>
        <w:rPr>
          <w:rFonts w:ascii="Arial" w:hAnsi="Arial" w:cs="Arial"/>
          <w:bCs/>
          <w:sz w:val="20"/>
        </w:rPr>
      </w:pPr>
    </w:p>
    <w:p w14:paraId="71B6060E" w14:textId="77777777" w:rsidR="00900E57" w:rsidRPr="009B0E0D" w:rsidRDefault="00900E57" w:rsidP="00900E57">
      <w:pPr>
        <w:pStyle w:val="ListParagraph"/>
        <w:numPr>
          <w:ilvl w:val="1"/>
          <w:numId w:val="1"/>
        </w:numPr>
        <w:tabs>
          <w:tab w:val="clear" w:pos="1800"/>
          <w:tab w:val="num" w:pos="2520"/>
        </w:tabs>
        <w:overflowPunct/>
        <w:autoSpaceDE/>
        <w:adjustRightInd/>
        <w:ind w:left="2160"/>
        <w:rPr>
          <w:rFonts w:ascii="Arial" w:hAnsi="Arial" w:cs="Arial"/>
          <w:bCs/>
          <w:sz w:val="20"/>
        </w:rPr>
      </w:pPr>
      <w:r w:rsidRPr="009B0E0D">
        <w:rPr>
          <w:rFonts w:ascii="Arial" w:hAnsi="Arial" w:cs="Arial"/>
          <w:b/>
          <w:bCs/>
          <w:sz w:val="20"/>
        </w:rPr>
        <w:t xml:space="preserve">Medicaid </w:t>
      </w:r>
      <w:r>
        <w:rPr>
          <w:rFonts w:ascii="Arial" w:hAnsi="Arial" w:cs="Arial"/>
          <w:b/>
          <w:bCs/>
          <w:sz w:val="20"/>
        </w:rPr>
        <w:t>R</w:t>
      </w:r>
      <w:r w:rsidRPr="009B0E0D">
        <w:rPr>
          <w:rFonts w:ascii="Arial" w:hAnsi="Arial" w:cs="Arial"/>
          <w:b/>
          <w:bCs/>
          <w:sz w:val="20"/>
        </w:rPr>
        <w:t>edeterminations</w:t>
      </w:r>
    </w:p>
    <w:p w14:paraId="6F1343D7" w14:textId="34E40E98" w:rsidR="00900E57" w:rsidRPr="000D7CBE" w:rsidRDefault="00900E57" w:rsidP="00900E57">
      <w:pPr>
        <w:pStyle w:val="ListParagraph"/>
        <w:overflowPunct/>
        <w:autoSpaceDE/>
        <w:autoSpaceDN/>
        <w:adjustRightInd/>
        <w:spacing w:after="160" w:line="259" w:lineRule="auto"/>
        <w:ind w:left="2160"/>
        <w:contextualSpacing/>
        <w:rPr>
          <w:rFonts w:ascii="Arial" w:hAnsi="Arial" w:cs="Arial"/>
          <w:sz w:val="20"/>
        </w:rPr>
      </w:pPr>
      <w:r w:rsidRPr="005E7E91">
        <w:rPr>
          <w:rFonts w:ascii="Arial" w:hAnsi="Arial" w:cs="Arial"/>
          <w:sz w:val="20"/>
        </w:rPr>
        <w:t xml:space="preserve">Shawn </w:t>
      </w:r>
      <w:r>
        <w:rPr>
          <w:rFonts w:ascii="Arial" w:hAnsi="Arial" w:cs="Arial"/>
          <w:sz w:val="20"/>
        </w:rPr>
        <w:t>reported that Medicaid redeterminations will vary</w:t>
      </w:r>
      <w:r w:rsidRPr="005E7E91">
        <w:rPr>
          <w:rFonts w:ascii="Arial" w:hAnsi="Arial" w:cs="Arial"/>
          <w:sz w:val="20"/>
        </w:rPr>
        <w:t xml:space="preserve"> dramatically </w:t>
      </w:r>
      <w:r>
        <w:rPr>
          <w:rFonts w:ascii="Arial" w:hAnsi="Arial" w:cs="Arial"/>
          <w:sz w:val="20"/>
        </w:rPr>
        <w:t xml:space="preserve">throughout the states and will affect an estimated </w:t>
      </w:r>
      <w:r w:rsidRPr="005E7E91">
        <w:rPr>
          <w:rFonts w:ascii="Arial" w:hAnsi="Arial" w:cs="Arial"/>
          <w:sz w:val="20"/>
        </w:rPr>
        <w:t>18 million people</w:t>
      </w:r>
      <w:r>
        <w:rPr>
          <w:rFonts w:ascii="Arial" w:hAnsi="Arial" w:cs="Arial"/>
          <w:sz w:val="20"/>
        </w:rPr>
        <w:t>.</w:t>
      </w:r>
      <w:r w:rsidRPr="005E7E91">
        <w:rPr>
          <w:rFonts w:ascii="Arial" w:hAnsi="Arial" w:cs="Arial"/>
          <w:sz w:val="20"/>
        </w:rPr>
        <w:t xml:space="preserve"> HHS assumes more than half will have access to exchanges or employer-sponsored insurance.  Redetermination backlogs</w:t>
      </w:r>
      <w:r>
        <w:rPr>
          <w:rFonts w:ascii="Arial" w:hAnsi="Arial" w:cs="Arial"/>
          <w:sz w:val="20"/>
        </w:rPr>
        <w:t xml:space="preserve"> typically last a </w:t>
      </w:r>
      <w:r w:rsidRPr="005E7E91">
        <w:rPr>
          <w:rFonts w:ascii="Arial" w:hAnsi="Arial" w:cs="Arial"/>
          <w:sz w:val="20"/>
        </w:rPr>
        <w:t>year or longer.</w:t>
      </w:r>
    </w:p>
    <w:p w14:paraId="511E7994" w14:textId="77777777" w:rsidR="00900E57" w:rsidRPr="008B1A2D" w:rsidRDefault="00900E57" w:rsidP="00900E57">
      <w:pPr>
        <w:numPr>
          <w:ilvl w:val="0"/>
          <w:numId w:val="1"/>
        </w:numPr>
        <w:overflowPunct/>
        <w:autoSpaceDE/>
        <w:adjustRightInd/>
        <w:rPr>
          <w:rFonts w:ascii="Arial" w:hAnsi="Arial" w:cs="Arial"/>
          <w:b/>
          <w:sz w:val="20"/>
        </w:rPr>
      </w:pPr>
      <w:r w:rsidRPr="008B1A2D">
        <w:rPr>
          <w:rFonts w:ascii="Arial" w:hAnsi="Arial" w:cs="Arial"/>
          <w:b/>
          <w:sz w:val="20"/>
        </w:rPr>
        <w:t>Bonus Metrics Proposal</w:t>
      </w:r>
    </w:p>
    <w:p w14:paraId="192B00F4" w14:textId="77777777" w:rsidR="00900E57" w:rsidRDefault="00900E57" w:rsidP="00900E57">
      <w:pPr>
        <w:overflowPunct/>
        <w:autoSpaceDE/>
        <w:adjustRightInd/>
        <w:ind w:left="1440"/>
        <w:rPr>
          <w:rFonts w:ascii="Arial" w:hAnsi="Arial" w:cs="Arial"/>
          <w:sz w:val="20"/>
        </w:rPr>
      </w:pPr>
    </w:p>
    <w:p w14:paraId="21D0507B" w14:textId="4ACE4233" w:rsidR="00900E57" w:rsidRDefault="00900E57" w:rsidP="00900E57">
      <w:pPr>
        <w:overflowPunct/>
        <w:autoSpaceDE/>
        <w:adjustRightInd/>
        <w:ind w:left="1440"/>
        <w:rPr>
          <w:rFonts w:ascii="Arial" w:hAnsi="Arial" w:cs="Arial"/>
          <w:sz w:val="20"/>
        </w:rPr>
      </w:pPr>
      <w:r>
        <w:rPr>
          <w:rFonts w:ascii="Arial" w:hAnsi="Arial" w:cs="Arial"/>
          <w:sz w:val="20"/>
        </w:rPr>
        <w:t xml:space="preserve">Shawn presented two documents for the EC to review and provide feedback: </w:t>
      </w:r>
      <w:r w:rsidRPr="009B0E0D">
        <w:rPr>
          <w:rFonts w:ascii="Arial" w:hAnsi="Arial" w:cs="Arial"/>
          <w:i/>
          <w:iCs/>
          <w:sz w:val="20"/>
        </w:rPr>
        <w:t>How We Wor</w:t>
      </w:r>
      <w:r w:rsidR="00226AE3">
        <w:rPr>
          <w:rFonts w:ascii="Arial" w:hAnsi="Arial" w:cs="Arial"/>
          <w:i/>
          <w:iCs/>
          <w:sz w:val="20"/>
        </w:rPr>
        <w:t xml:space="preserve">k: </w:t>
      </w:r>
      <w:r>
        <w:rPr>
          <w:rFonts w:ascii="Arial" w:hAnsi="Arial" w:cs="Arial"/>
          <w:sz w:val="20"/>
        </w:rPr>
        <w:t xml:space="preserve">the process by which NABH identifies priorities, gathers member feedback, and deploys resources; and the OKR metrics. </w:t>
      </w:r>
    </w:p>
    <w:p w14:paraId="4FAC4F3B" w14:textId="77777777" w:rsidR="00900E57" w:rsidRDefault="00900E57" w:rsidP="00900E57">
      <w:pPr>
        <w:overflowPunct/>
        <w:autoSpaceDE/>
        <w:adjustRightInd/>
        <w:ind w:left="1440"/>
        <w:rPr>
          <w:rFonts w:ascii="Arial" w:hAnsi="Arial" w:cs="Arial"/>
          <w:sz w:val="20"/>
        </w:rPr>
      </w:pPr>
    </w:p>
    <w:p w14:paraId="20686E64" w14:textId="3AD8B7BF" w:rsidR="00900E57" w:rsidRDefault="00900E57" w:rsidP="00900E57">
      <w:pPr>
        <w:overflowPunct/>
        <w:autoSpaceDE/>
        <w:adjustRightInd/>
        <w:ind w:left="1440"/>
        <w:rPr>
          <w:rFonts w:ascii="Arial" w:hAnsi="Arial" w:cs="Arial"/>
          <w:sz w:val="20"/>
        </w:rPr>
      </w:pPr>
      <w:r>
        <w:rPr>
          <w:rFonts w:ascii="Arial" w:hAnsi="Arial" w:cs="Arial"/>
          <w:sz w:val="20"/>
        </w:rPr>
        <w:t>The EC discussed the metrics and documents Shawn provided.</w:t>
      </w:r>
      <w:r w:rsidR="00226AE3">
        <w:rPr>
          <w:rFonts w:ascii="Arial" w:hAnsi="Arial" w:cs="Arial"/>
          <w:sz w:val="20"/>
        </w:rPr>
        <w:t xml:space="preserve"> </w:t>
      </w:r>
      <w:r>
        <w:rPr>
          <w:rFonts w:ascii="Arial" w:hAnsi="Arial" w:cs="Arial"/>
          <w:sz w:val="20"/>
        </w:rPr>
        <w:t>The EC then moved into executive session at 3:45 p.m. ET.</w:t>
      </w:r>
    </w:p>
    <w:p w14:paraId="615FB1A4" w14:textId="77777777" w:rsidR="00900E57" w:rsidRDefault="00900E57" w:rsidP="00900E57">
      <w:pPr>
        <w:overflowPunct/>
        <w:autoSpaceDE/>
        <w:adjustRightInd/>
        <w:ind w:left="1440"/>
        <w:rPr>
          <w:rFonts w:ascii="Arial" w:hAnsi="Arial" w:cs="Arial"/>
          <w:sz w:val="20"/>
        </w:rPr>
      </w:pPr>
    </w:p>
    <w:p w14:paraId="2F2ECD13" w14:textId="77777777" w:rsidR="00900E57" w:rsidRDefault="00900E57" w:rsidP="00900E57">
      <w:pPr>
        <w:overflowPunct/>
        <w:autoSpaceDE/>
        <w:adjustRightInd/>
        <w:ind w:left="1440"/>
        <w:rPr>
          <w:rFonts w:ascii="Arial" w:hAnsi="Arial" w:cs="Arial"/>
          <w:sz w:val="20"/>
        </w:rPr>
      </w:pPr>
    </w:p>
    <w:p w14:paraId="317E2C58" w14:textId="77777777" w:rsidR="00900E57" w:rsidRDefault="00900E57" w:rsidP="00900E57">
      <w:pPr>
        <w:overflowPunct/>
        <w:autoSpaceDE/>
        <w:adjustRightInd/>
        <w:ind w:left="1440"/>
        <w:rPr>
          <w:rFonts w:ascii="Arial" w:hAnsi="Arial" w:cs="Arial"/>
          <w:sz w:val="20"/>
        </w:rPr>
      </w:pPr>
    </w:p>
    <w:p w14:paraId="5077E8A9" w14:textId="77777777" w:rsidR="00900E57" w:rsidRPr="001E2B88" w:rsidRDefault="00900E57" w:rsidP="00900E57">
      <w:pPr>
        <w:overflowPunct/>
        <w:autoSpaceDE/>
        <w:adjustRightInd/>
        <w:ind w:left="1440"/>
        <w:rPr>
          <w:rFonts w:ascii="Arial" w:hAnsi="Arial" w:cs="Arial"/>
          <w:sz w:val="20"/>
        </w:rPr>
      </w:pPr>
    </w:p>
    <w:bookmarkEnd w:id="4"/>
    <w:bookmarkEnd w:id="5"/>
    <w:p w14:paraId="7C3C5DA0" w14:textId="77777777" w:rsidR="00EC78CF" w:rsidRDefault="00EC78CF"/>
    <w:sectPr w:rsidR="00EC7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767D9"/>
    <w:multiLevelType w:val="hybridMultilevel"/>
    <w:tmpl w:val="7FBE1C36"/>
    <w:lvl w:ilvl="0" w:tplc="C39CE006">
      <w:start w:val="1"/>
      <w:numFmt w:val="upperRoman"/>
      <w:lvlText w:val="%1."/>
      <w:lvlJc w:val="left"/>
      <w:pPr>
        <w:tabs>
          <w:tab w:val="num" w:pos="1440"/>
        </w:tabs>
        <w:ind w:left="1440" w:hanging="720"/>
      </w:pPr>
      <w:rPr>
        <w:i w:val="0"/>
      </w:rPr>
    </w:lvl>
    <w:lvl w:ilvl="1" w:tplc="BA04C580">
      <w:start w:val="1"/>
      <w:numFmt w:val="upperLetter"/>
      <w:lvlText w:val="%2."/>
      <w:lvlJc w:val="left"/>
      <w:pPr>
        <w:tabs>
          <w:tab w:val="num" w:pos="1800"/>
        </w:tabs>
        <w:ind w:left="1800" w:hanging="360"/>
      </w:pPr>
      <w:rPr>
        <w:rFonts w:hint="default"/>
        <w:b/>
        <w:bCs w:val="0"/>
        <w:i w:val="0"/>
        <w:iCs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118863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57"/>
    <w:rsid w:val="00226AE3"/>
    <w:rsid w:val="00306834"/>
    <w:rsid w:val="00406B39"/>
    <w:rsid w:val="004D4998"/>
    <w:rsid w:val="00900E57"/>
    <w:rsid w:val="00D619E3"/>
    <w:rsid w:val="00EC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F5B5"/>
  <w15:chartTrackingRefBased/>
  <w15:docId w15:val="{7A185076-5012-45C9-B40F-90D501DB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E57"/>
    <w:pPr>
      <w:overflowPunct w:val="0"/>
      <w:autoSpaceDE w:val="0"/>
      <w:autoSpaceDN w:val="0"/>
      <w:adjustRightInd w:val="0"/>
      <w:spacing w:after="0" w:line="240" w:lineRule="auto"/>
    </w:pPr>
    <w:rPr>
      <w:rFonts w:ascii="Univers" w:eastAsia="Times New Roman" w:hAnsi="Univers"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E57"/>
    <w:pPr>
      <w:ind w:left="720"/>
    </w:pPr>
  </w:style>
  <w:style w:type="character" w:styleId="Hyperlink">
    <w:name w:val="Hyperlink"/>
    <w:rsid w:val="00900E57"/>
    <w:rPr>
      <w:color w:val="0000FF"/>
      <w:u w:val="single"/>
    </w:rPr>
  </w:style>
  <w:style w:type="character" w:styleId="CommentReference">
    <w:name w:val="annotation reference"/>
    <w:basedOn w:val="DefaultParagraphFont"/>
    <w:uiPriority w:val="99"/>
    <w:semiHidden/>
    <w:unhideWhenUsed/>
    <w:rsid w:val="00900E57"/>
    <w:rPr>
      <w:sz w:val="16"/>
      <w:szCs w:val="16"/>
    </w:rPr>
  </w:style>
  <w:style w:type="paragraph" w:styleId="CommentText">
    <w:name w:val="annotation text"/>
    <w:basedOn w:val="Normal"/>
    <w:link w:val="CommentTextChar"/>
    <w:uiPriority w:val="99"/>
    <w:unhideWhenUsed/>
    <w:rsid w:val="00900E57"/>
    <w:rPr>
      <w:sz w:val="20"/>
    </w:rPr>
  </w:style>
  <w:style w:type="character" w:customStyle="1" w:styleId="CommentTextChar">
    <w:name w:val="Comment Text Char"/>
    <w:basedOn w:val="DefaultParagraphFont"/>
    <w:link w:val="CommentText"/>
    <w:uiPriority w:val="99"/>
    <w:rsid w:val="00900E57"/>
    <w:rPr>
      <w:rFonts w:ascii="Univers" w:eastAsia="Times New Roman" w:hAnsi="Univers"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bh.org/nabh-letter-to-norcross-marke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Zigmond</dc:creator>
  <cp:keywords/>
  <dc:description/>
  <cp:lastModifiedBy>Jessica Zigmond</cp:lastModifiedBy>
  <cp:revision>5</cp:revision>
  <dcterms:created xsi:type="dcterms:W3CDTF">2023-05-04T18:18:00Z</dcterms:created>
  <dcterms:modified xsi:type="dcterms:W3CDTF">2023-05-04T18:29:00Z</dcterms:modified>
</cp:coreProperties>
</file>