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04D6" w14:textId="77777777" w:rsidR="00165832" w:rsidRPr="006230CB" w:rsidRDefault="00165832" w:rsidP="00165832">
      <w:pPr>
        <w:pStyle w:val="p1"/>
        <w:rPr>
          <w:rStyle w:val="s1"/>
          <w:rFonts w:ascii="Arial" w:hAnsi="Arial" w:cs="Arial"/>
          <w:color w:val="auto"/>
          <w:sz w:val="20"/>
          <w:szCs w:val="20"/>
        </w:rPr>
      </w:pPr>
      <w:r w:rsidRPr="006230CB">
        <w:rPr>
          <w:rFonts w:ascii="Arial" w:hAnsi="Arial" w:cs="Arial"/>
          <w:noProof/>
          <w:color w:val="auto"/>
          <w:sz w:val="20"/>
          <w:szCs w:val="20"/>
        </w:rPr>
        <w:drawing>
          <wp:inline distT="0" distB="0" distL="0" distR="0" wp14:anchorId="376AEC19" wp14:editId="1BF05D3E">
            <wp:extent cx="5943600" cy="1252220"/>
            <wp:effectExtent l="0" t="0" r="0" b="5080"/>
            <wp:docPr id="1" name="Picture 1"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BH_logo_horizontal_CMYK use for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360846EE" w14:textId="4672BEA7" w:rsidR="00165832" w:rsidRPr="00EB5292" w:rsidRDefault="00165832" w:rsidP="00165832">
      <w:pPr>
        <w:overflowPunct w:val="0"/>
        <w:autoSpaceDE w:val="0"/>
        <w:autoSpaceDN w:val="0"/>
        <w:adjustRightInd w:val="0"/>
        <w:spacing w:after="0" w:line="256" w:lineRule="auto"/>
        <w:jc w:val="center"/>
        <w:rPr>
          <w:rFonts w:ascii="Arial" w:hAnsi="Arial" w:cs="Arial"/>
          <w:b/>
          <w:sz w:val="20"/>
          <w:szCs w:val="20"/>
        </w:rPr>
      </w:pPr>
      <w:r>
        <w:rPr>
          <w:rFonts w:ascii="Arial" w:hAnsi="Arial" w:cs="Arial"/>
          <w:b/>
          <w:sz w:val="20"/>
          <w:szCs w:val="20"/>
        </w:rPr>
        <w:t>Executive Committee Call</w:t>
      </w:r>
    </w:p>
    <w:p w14:paraId="7695F359" w14:textId="27B5F55A" w:rsidR="00165832" w:rsidRPr="00EB5292" w:rsidRDefault="00165832" w:rsidP="00165832">
      <w:pPr>
        <w:overflowPunct w:val="0"/>
        <w:autoSpaceDE w:val="0"/>
        <w:autoSpaceDN w:val="0"/>
        <w:adjustRightInd w:val="0"/>
        <w:spacing w:after="0" w:line="256" w:lineRule="auto"/>
        <w:jc w:val="center"/>
        <w:rPr>
          <w:rFonts w:ascii="Arial" w:hAnsi="Arial" w:cs="Arial"/>
          <w:b/>
          <w:sz w:val="20"/>
          <w:szCs w:val="20"/>
        </w:rPr>
      </w:pPr>
      <w:r>
        <w:rPr>
          <w:rFonts w:ascii="Arial" w:hAnsi="Arial" w:cs="Arial"/>
          <w:b/>
          <w:sz w:val="20"/>
          <w:szCs w:val="20"/>
        </w:rPr>
        <w:t>Monday, Feb. 13, 2023</w:t>
      </w:r>
    </w:p>
    <w:p w14:paraId="71A583D5" w14:textId="77777777" w:rsidR="00165832" w:rsidRPr="00EB5292" w:rsidRDefault="00165832" w:rsidP="00165832">
      <w:pPr>
        <w:overflowPunct w:val="0"/>
        <w:autoSpaceDE w:val="0"/>
        <w:autoSpaceDN w:val="0"/>
        <w:adjustRightInd w:val="0"/>
        <w:spacing w:after="0" w:line="256" w:lineRule="auto"/>
        <w:jc w:val="center"/>
        <w:rPr>
          <w:rFonts w:ascii="Arial" w:hAnsi="Arial" w:cs="Arial"/>
          <w:b/>
          <w:sz w:val="20"/>
          <w:szCs w:val="20"/>
        </w:rPr>
      </w:pPr>
      <w:r w:rsidRPr="00EB5292">
        <w:rPr>
          <w:rFonts w:ascii="Arial" w:hAnsi="Arial" w:cs="Arial"/>
          <w:b/>
          <w:sz w:val="20"/>
          <w:szCs w:val="20"/>
        </w:rPr>
        <w:t>Minutes</w:t>
      </w:r>
    </w:p>
    <w:p w14:paraId="75BF6ECC" w14:textId="77777777" w:rsidR="00165832" w:rsidRPr="00EB5292" w:rsidRDefault="00165832" w:rsidP="00165832">
      <w:pPr>
        <w:overflowPunct w:val="0"/>
        <w:autoSpaceDE w:val="0"/>
        <w:autoSpaceDN w:val="0"/>
        <w:adjustRightInd w:val="0"/>
        <w:spacing w:after="0" w:line="256" w:lineRule="auto"/>
        <w:jc w:val="center"/>
        <w:rPr>
          <w:rFonts w:ascii="Arial" w:hAnsi="Arial" w:cs="Arial"/>
          <w:b/>
          <w:sz w:val="24"/>
          <w:szCs w:val="24"/>
        </w:rPr>
      </w:pPr>
    </w:p>
    <w:p w14:paraId="4C0A8204" w14:textId="77777777" w:rsidR="00165832" w:rsidRDefault="00165832" w:rsidP="00165832">
      <w:pPr>
        <w:overflowPunct w:val="0"/>
        <w:autoSpaceDE w:val="0"/>
        <w:autoSpaceDN w:val="0"/>
        <w:adjustRightInd w:val="0"/>
        <w:spacing w:line="256" w:lineRule="auto"/>
        <w:rPr>
          <w:rFonts w:ascii="Arial" w:hAnsi="Arial" w:cs="Arial"/>
          <w:b/>
          <w:bCs/>
          <w:sz w:val="20"/>
          <w:szCs w:val="20"/>
        </w:rPr>
      </w:pPr>
      <w:bookmarkStart w:id="0" w:name="_Hlk59114045"/>
      <w:r w:rsidRPr="006230CB">
        <w:rPr>
          <w:rFonts w:ascii="Arial" w:hAnsi="Arial" w:cs="Arial"/>
          <w:b/>
          <w:bCs/>
          <w:sz w:val="20"/>
          <w:szCs w:val="20"/>
        </w:rPr>
        <w:t>Roll Call</w:t>
      </w:r>
    </w:p>
    <w:p w14:paraId="21A2456A" w14:textId="3794AA91" w:rsidR="00B329AB" w:rsidRDefault="00165832" w:rsidP="00165832">
      <w:pPr>
        <w:pStyle w:val="NoSpacing"/>
        <w:rPr>
          <w:rFonts w:ascii="Arial" w:hAnsi="Arial" w:cs="Arial"/>
          <w:sz w:val="20"/>
          <w:szCs w:val="20"/>
        </w:rPr>
      </w:pPr>
      <w:r w:rsidRPr="003A198F">
        <w:rPr>
          <w:rFonts w:ascii="Arial" w:hAnsi="Arial" w:cs="Arial"/>
          <w:sz w:val="20"/>
          <w:szCs w:val="20"/>
        </w:rPr>
        <w:t>Present:</w:t>
      </w:r>
      <w:r w:rsidRPr="006230CB">
        <w:t xml:space="preserve"> </w:t>
      </w:r>
      <w:r w:rsidRPr="006230CB">
        <w:tab/>
      </w:r>
      <w:r w:rsidRPr="003A198F">
        <w:rPr>
          <w:rFonts w:ascii="Arial" w:hAnsi="Arial" w:cs="Arial"/>
          <w:sz w:val="20"/>
          <w:szCs w:val="20"/>
          <w:u w:val="single"/>
        </w:rPr>
        <w:t>Members</w:t>
      </w:r>
      <w:r w:rsidRPr="003A198F">
        <w:rPr>
          <w:rFonts w:ascii="Arial" w:hAnsi="Arial" w:cs="Arial"/>
          <w:sz w:val="20"/>
          <w:szCs w:val="20"/>
        </w:rPr>
        <w:t xml:space="preserve">: </w:t>
      </w:r>
      <w:r>
        <w:rPr>
          <w:rFonts w:ascii="Arial" w:hAnsi="Arial" w:cs="Arial"/>
          <w:sz w:val="20"/>
          <w:szCs w:val="20"/>
        </w:rPr>
        <w:t xml:space="preserve"> </w:t>
      </w:r>
      <w:r w:rsidR="00B329AB" w:rsidRPr="00FD0BBC">
        <w:rPr>
          <w:rFonts w:ascii="Arial" w:hAnsi="Arial" w:cs="Arial"/>
          <w:sz w:val="20"/>
          <w:szCs w:val="20"/>
        </w:rPr>
        <w:t>Harsh Trivedi,</w:t>
      </w:r>
      <w:r w:rsidR="00B329AB">
        <w:rPr>
          <w:rFonts w:ascii="Arial" w:hAnsi="Arial" w:cs="Arial"/>
          <w:sz w:val="20"/>
          <w:szCs w:val="20"/>
        </w:rPr>
        <w:t xml:space="preserve"> Board Chair; Mark Covall, Frank Ghinassi, </w:t>
      </w:r>
    </w:p>
    <w:p w14:paraId="7D2718F9" w14:textId="4CFB6ECC" w:rsidR="00B329AB" w:rsidRPr="00A50014" w:rsidRDefault="00B329AB" w:rsidP="00B329AB">
      <w:pPr>
        <w:pStyle w:val="NoSpacing"/>
        <w:ind w:left="720" w:firstLine="720"/>
        <w:rPr>
          <w:rFonts w:ascii="Arial" w:hAnsi="Arial" w:cs="Arial"/>
          <w:color w:val="000000" w:themeColor="text1"/>
          <w:sz w:val="20"/>
          <w:szCs w:val="20"/>
        </w:rPr>
      </w:pPr>
      <w:r>
        <w:rPr>
          <w:rFonts w:ascii="Arial" w:hAnsi="Arial" w:cs="Arial"/>
          <w:sz w:val="20"/>
          <w:szCs w:val="20"/>
        </w:rPr>
        <w:t>Dwight Lacy, Jameson Norton, Eric Paul</w:t>
      </w:r>
      <w:r w:rsidR="00986049">
        <w:rPr>
          <w:rFonts w:ascii="Arial" w:hAnsi="Arial" w:cs="Arial"/>
          <w:sz w:val="20"/>
          <w:szCs w:val="20"/>
        </w:rPr>
        <w:t xml:space="preserve">, </w:t>
      </w:r>
      <w:r w:rsidR="00986049" w:rsidRPr="00FD0BBC">
        <w:rPr>
          <w:rFonts w:ascii="Arial" w:hAnsi="Arial" w:cs="Arial"/>
          <w:sz w:val="20"/>
          <w:szCs w:val="20"/>
        </w:rPr>
        <w:t>Deborah Weidner</w:t>
      </w:r>
      <w:r w:rsidR="00986049">
        <w:rPr>
          <w:rFonts w:ascii="Arial" w:hAnsi="Arial" w:cs="Arial"/>
          <w:sz w:val="20"/>
          <w:szCs w:val="20"/>
        </w:rPr>
        <w:t xml:space="preserve"> </w:t>
      </w:r>
    </w:p>
    <w:p w14:paraId="7A4B6D37" w14:textId="77777777" w:rsidR="00165832" w:rsidRDefault="00165832" w:rsidP="00165832">
      <w:pPr>
        <w:spacing w:after="0"/>
        <w:ind w:left="1440"/>
        <w:rPr>
          <w:rFonts w:ascii="Arial" w:hAnsi="Arial" w:cs="Arial"/>
          <w:sz w:val="20"/>
          <w:u w:val="single"/>
        </w:rPr>
      </w:pPr>
    </w:p>
    <w:p w14:paraId="1EC29BB4" w14:textId="3B055642" w:rsidR="00165832" w:rsidRDefault="00165832" w:rsidP="00B329AB">
      <w:pPr>
        <w:spacing w:after="0"/>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 xml:space="preserve">Shawn Coughlin, </w:t>
      </w:r>
      <w:r w:rsidR="00B329AB">
        <w:rPr>
          <w:rFonts w:ascii="Arial" w:hAnsi="Arial" w:cs="Arial"/>
          <w:sz w:val="20"/>
        </w:rPr>
        <w:t>Jessica Zigmond</w:t>
      </w:r>
    </w:p>
    <w:p w14:paraId="56CB02DC" w14:textId="7BACC357" w:rsidR="00B329AB" w:rsidRPr="00B329AB" w:rsidRDefault="00B329AB" w:rsidP="00B329AB">
      <w:pPr>
        <w:spacing w:after="0"/>
        <w:ind w:left="1440"/>
        <w:rPr>
          <w:rFonts w:ascii="Arial" w:hAnsi="Arial" w:cs="Arial"/>
          <w:i/>
          <w:iCs/>
          <w:sz w:val="18"/>
          <w:szCs w:val="18"/>
        </w:rPr>
      </w:pPr>
      <w:r>
        <w:rPr>
          <w:rFonts w:ascii="Arial" w:hAnsi="Arial" w:cs="Arial"/>
          <w:i/>
          <w:iCs/>
          <w:sz w:val="18"/>
          <w:szCs w:val="18"/>
        </w:rPr>
        <w:t xml:space="preserve">*Other </w:t>
      </w:r>
      <w:r w:rsidRPr="00B329AB">
        <w:rPr>
          <w:rFonts w:ascii="Arial" w:hAnsi="Arial" w:cs="Arial"/>
          <w:i/>
          <w:iCs/>
          <w:sz w:val="18"/>
          <w:szCs w:val="18"/>
        </w:rPr>
        <w:t>NABH team</w:t>
      </w:r>
      <w:r w:rsidR="00157AA2">
        <w:rPr>
          <w:rFonts w:ascii="Arial" w:hAnsi="Arial" w:cs="Arial"/>
          <w:i/>
          <w:iCs/>
          <w:sz w:val="18"/>
          <w:szCs w:val="18"/>
        </w:rPr>
        <w:t xml:space="preserve"> members</w:t>
      </w:r>
      <w:r w:rsidRPr="00B329AB">
        <w:rPr>
          <w:rFonts w:ascii="Arial" w:hAnsi="Arial" w:cs="Arial"/>
          <w:i/>
          <w:iCs/>
          <w:sz w:val="18"/>
          <w:szCs w:val="18"/>
        </w:rPr>
        <w:t xml:space="preserve"> did not join the February Executive Committee call; </w:t>
      </w:r>
    </w:p>
    <w:p w14:paraId="2ADC16EB" w14:textId="584A37D1" w:rsidR="00165832" w:rsidRDefault="00B329AB" w:rsidP="00B329AB">
      <w:pPr>
        <w:spacing w:after="0"/>
        <w:ind w:left="1440"/>
        <w:rPr>
          <w:rFonts w:ascii="Arial" w:hAnsi="Arial" w:cs="Arial"/>
          <w:i/>
          <w:iCs/>
          <w:sz w:val="18"/>
          <w:szCs w:val="18"/>
        </w:rPr>
      </w:pPr>
      <w:r w:rsidRPr="00B329AB">
        <w:rPr>
          <w:rFonts w:ascii="Arial" w:hAnsi="Arial" w:cs="Arial"/>
          <w:i/>
          <w:iCs/>
          <w:sz w:val="18"/>
          <w:szCs w:val="18"/>
        </w:rPr>
        <w:t xml:space="preserve">NABH Communications Director Jessica Zigmond </w:t>
      </w:r>
      <w:r>
        <w:rPr>
          <w:rFonts w:ascii="Arial" w:hAnsi="Arial" w:cs="Arial"/>
          <w:i/>
          <w:iCs/>
          <w:sz w:val="18"/>
          <w:szCs w:val="18"/>
        </w:rPr>
        <w:t>participated to</w:t>
      </w:r>
      <w:r w:rsidRPr="00B329AB">
        <w:rPr>
          <w:rFonts w:ascii="Arial" w:hAnsi="Arial" w:cs="Arial"/>
          <w:i/>
          <w:iCs/>
          <w:sz w:val="18"/>
          <w:szCs w:val="18"/>
        </w:rPr>
        <w:t xml:space="preserve"> take minutes for auditing purpose</w:t>
      </w:r>
      <w:r>
        <w:rPr>
          <w:rFonts w:ascii="Arial" w:hAnsi="Arial" w:cs="Arial"/>
          <w:i/>
          <w:iCs/>
          <w:sz w:val="18"/>
          <w:szCs w:val="18"/>
        </w:rPr>
        <w:t xml:space="preserve">s. </w:t>
      </w:r>
      <w:r w:rsidRPr="00B329AB">
        <w:rPr>
          <w:rFonts w:ascii="Arial" w:hAnsi="Arial" w:cs="Arial"/>
          <w:i/>
          <w:iCs/>
          <w:sz w:val="18"/>
          <w:szCs w:val="18"/>
        </w:rPr>
        <w:t>Both Shawn</w:t>
      </w:r>
      <w:r w:rsidR="00157AA2">
        <w:rPr>
          <w:rFonts w:ascii="Arial" w:hAnsi="Arial" w:cs="Arial"/>
          <w:i/>
          <w:iCs/>
          <w:sz w:val="18"/>
          <w:szCs w:val="18"/>
        </w:rPr>
        <w:t xml:space="preserve"> Coughlin</w:t>
      </w:r>
      <w:r w:rsidRPr="00B329AB">
        <w:rPr>
          <w:rFonts w:ascii="Arial" w:hAnsi="Arial" w:cs="Arial"/>
          <w:i/>
          <w:iCs/>
          <w:sz w:val="18"/>
          <w:szCs w:val="18"/>
        </w:rPr>
        <w:t xml:space="preserve"> and Jessica</w:t>
      </w:r>
      <w:r w:rsidR="00157AA2">
        <w:rPr>
          <w:rFonts w:ascii="Arial" w:hAnsi="Arial" w:cs="Arial"/>
          <w:i/>
          <w:iCs/>
          <w:sz w:val="18"/>
          <w:szCs w:val="18"/>
        </w:rPr>
        <w:t xml:space="preserve"> Zigmond</w:t>
      </w:r>
      <w:r w:rsidRPr="00B329AB">
        <w:rPr>
          <w:rFonts w:ascii="Arial" w:hAnsi="Arial" w:cs="Arial"/>
          <w:i/>
          <w:iCs/>
          <w:sz w:val="18"/>
          <w:szCs w:val="18"/>
        </w:rPr>
        <w:t xml:space="preserve"> left the call </w:t>
      </w:r>
      <w:r>
        <w:rPr>
          <w:rFonts w:ascii="Arial" w:hAnsi="Arial" w:cs="Arial"/>
          <w:i/>
          <w:iCs/>
          <w:sz w:val="18"/>
          <w:szCs w:val="18"/>
        </w:rPr>
        <w:t>before the</w:t>
      </w:r>
      <w:r w:rsidRPr="00B329AB">
        <w:rPr>
          <w:rFonts w:ascii="Arial" w:hAnsi="Arial" w:cs="Arial"/>
          <w:i/>
          <w:iCs/>
          <w:sz w:val="18"/>
          <w:szCs w:val="18"/>
        </w:rPr>
        <w:t xml:space="preserve"> EC’s executive session</w:t>
      </w:r>
      <w:r>
        <w:rPr>
          <w:rFonts w:ascii="Arial" w:hAnsi="Arial" w:cs="Arial"/>
          <w:i/>
          <w:iCs/>
          <w:sz w:val="18"/>
          <w:szCs w:val="18"/>
        </w:rPr>
        <w:t xml:space="preserve"> started.</w:t>
      </w:r>
    </w:p>
    <w:p w14:paraId="0593C19D" w14:textId="77777777" w:rsidR="00B329AB" w:rsidRPr="00B329AB" w:rsidRDefault="00B329AB" w:rsidP="00B329AB">
      <w:pPr>
        <w:spacing w:after="0"/>
        <w:rPr>
          <w:rFonts w:ascii="Arial" w:hAnsi="Arial" w:cs="Arial"/>
          <w:i/>
          <w:iCs/>
          <w:sz w:val="18"/>
          <w:szCs w:val="18"/>
        </w:rPr>
      </w:pPr>
    </w:p>
    <w:p w14:paraId="1B0201E4" w14:textId="1D500EC3" w:rsidR="00AB043F" w:rsidRPr="00392E04" w:rsidRDefault="00165832" w:rsidP="00392E04">
      <w:pPr>
        <w:ind w:left="1440" w:hanging="1440"/>
        <w:rPr>
          <w:rFonts w:ascii="Arial" w:hAnsi="Arial" w:cs="Arial"/>
          <w:sz w:val="20"/>
        </w:rPr>
      </w:pPr>
      <w:r>
        <w:rPr>
          <w:rFonts w:ascii="Arial" w:hAnsi="Arial" w:cs="Arial"/>
          <w:sz w:val="20"/>
        </w:rPr>
        <w:t>Absent:</w:t>
      </w:r>
      <w:r>
        <w:rPr>
          <w:rFonts w:ascii="Arial" w:hAnsi="Arial" w:cs="Arial"/>
          <w:sz w:val="20"/>
        </w:rPr>
        <w:tab/>
      </w:r>
      <w:r w:rsidRPr="003A198F">
        <w:rPr>
          <w:rFonts w:ascii="Arial" w:hAnsi="Arial" w:cs="Arial"/>
          <w:sz w:val="20"/>
          <w:u w:val="single"/>
        </w:rPr>
        <w:t>Members</w:t>
      </w:r>
      <w:r>
        <w:rPr>
          <w:rFonts w:ascii="Arial" w:hAnsi="Arial" w:cs="Arial"/>
          <w:sz w:val="20"/>
        </w:rPr>
        <w:t xml:space="preserve">: </w:t>
      </w:r>
      <w:r w:rsidR="00B329AB">
        <w:rPr>
          <w:rFonts w:ascii="Arial" w:hAnsi="Arial" w:cs="Arial"/>
          <w:sz w:val="20"/>
        </w:rPr>
        <w:t xml:space="preserve">John Hollinsworth, </w:t>
      </w:r>
      <w:r w:rsidR="00A50014">
        <w:rPr>
          <w:rFonts w:ascii="Arial" w:hAnsi="Arial" w:cs="Arial"/>
          <w:sz w:val="20"/>
        </w:rPr>
        <w:t xml:space="preserve">Eric Kim, </w:t>
      </w:r>
      <w:r w:rsidR="00B329AB">
        <w:rPr>
          <w:rFonts w:ascii="Arial" w:hAnsi="Arial" w:cs="Arial"/>
          <w:sz w:val="20"/>
        </w:rPr>
        <w:t>Matt Peterson</w:t>
      </w:r>
      <w:bookmarkEnd w:id="0"/>
    </w:p>
    <w:p w14:paraId="1D780267" w14:textId="4D38F0A3" w:rsidR="00AB043F" w:rsidRDefault="00AB043F" w:rsidP="00AB043F">
      <w:pPr>
        <w:pStyle w:val="ListParagraph"/>
        <w:numPr>
          <w:ilvl w:val="0"/>
          <w:numId w:val="1"/>
        </w:numPr>
        <w:jc w:val="both"/>
        <w:rPr>
          <w:rFonts w:ascii="Arial" w:hAnsi="Arial" w:cs="Arial"/>
          <w:b/>
          <w:bCs/>
          <w:sz w:val="20"/>
        </w:rPr>
      </w:pPr>
      <w:r w:rsidRPr="00AB043F">
        <w:rPr>
          <w:rFonts w:ascii="Arial" w:hAnsi="Arial" w:cs="Arial"/>
          <w:b/>
          <w:bCs/>
          <w:sz w:val="20"/>
        </w:rPr>
        <w:t>Minutes Approval: Dec. 12 Executive Committee Call</w:t>
      </w:r>
    </w:p>
    <w:p w14:paraId="74A617E4" w14:textId="7D3996FF" w:rsidR="00F058C2" w:rsidRDefault="00F058C2" w:rsidP="00F058C2">
      <w:pPr>
        <w:pStyle w:val="ListParagraph"/>
        <w:ind w:left="1440"/>
        <w:jc w:val="both"/>
        <w:rPr>
          <w:rFonts w:ascii="Arial" w:hAnsi="Arial" w:cs="Arial"/>
          <w:sz w:val="20"/>
        </w:rPr>
      </w:pPr>
      <w:r>
        <w:rPr>
          <w:rFonts w:ascii="Arial" w:hAnsi="Arial" w:cs="Arial"/>
          <w:sz w:val="20"/>
        </w:rPr>
        <w:t>Mark Covall moved, Frank seconded, and all EC members approved the Dec. 12 EC call minutes unanimously.</w:t>
      </w:r>
    </w:p>
    <w:p w14:paraId="2562B0B8" w14:textId="77777777" w:rsidR="00F058C2" w:rsidRPr="00F058C2" w:rsidRDefault="00F058C2" w:rsidP="00F058C2">
      <w:pPr>
        <w:pStyle w:val="ListParagraph"/>
        <w:ind w:left="1440"/>
        <w:jc w:val="both"/>
        <w:rPr>
          <w:rFonts w:ascii="Arial" w:hAnsi="Arial" w:cs="Arial"/>
          <w:sz w:val="20"/>
        </w:rPr>
      </w:pPr>
    </w:p>
    <w:p w14:paraId="60C479B5" w14:textId="6A6C07BF" w:rsidR="00AB043F" w:rsidRDefault="00AB043F" w:rsidP="00AB043F">
      <w:pPr>
        <w:numPr>
          <w:ilvl w:val="0"/>
          <w:numId w:val="1"/>
        </w:numPr>
        <w:autoSpaceDN w:val="0"/>
        <w:spacing w:after="0" w:line="240" w:lineRule="auto"/>
        <w:jc w:val="both"/>
        <w:rPr>
          <w:rFonts w:ascii="Arial" w:hAnsi="Arial" w:cs="Arial"/>
          <w:b/>
          <w:bCs/>
          <w:sz w:val="20"/>
        </w:rPr>
      </w:pPr>
      <w:r w:rsidRPr="00AB043F">
        <w:rPr>
          <w:rFonts w:ascii="Arial" w:hAnsi="Arial" w:cs="Arial"/>
          <w:b/>
          <w:bCs/>
          <w:i/>
          <w:iCs/>
          <w:sz w:val="20"/>
        </w:rPr>
        <w:t xml:space="preserve">Wit </w:t>
      </w:r>
      <w:r w:rsidR="00D1201D">
        <w:rPr>
          <w:rFonts w:ascii="Arial" w:hAnsi="Arial" w:cs="Arial"/>
          <w:b/>
          <w:bCs/>
          <w:i/>
          <w:iCs/>
          <w:sz w:val="20"/>
        </w:rPr>
        <w:t xml:space="preserve">v. UBH </w:t>
      </w:r>
      <w:r w:rsidRPr="00AB043F">
        <w:rPr>
          <w:rFonts w:ascii="Arial" w:hAnsi="Arial" w:cs="Arial"/>
          <w:b/>
          <w:bCs/>
          <w:sz w:val="20"/>
        </w:rPr>
        <w:t>Update</w:t>
      </w:r>
    </w:p>
    <w:p w14:paraId="6A949593" w14:textId="5D7D461D" w:rsidR="001A14F2" w:rsidRPr="001A14F2" w:rsidRDefault="00F058C2" w:rsidP="001A14F2">
      <w:pPr>
        <w:ind w:left="1440"/>
        <w:contextualSpacing/>
        <w:rPr>
          <w:rFonts w:ascii="Arial" w:eastAsia="Calibri" w:hAnsi="Arial" w:cs="Arial"/>
          <w:color w:val="212121"/>
          <w:sz w:val="20"/>
          <w:szCs w:val="20"/>
        </w:rPr>
      </w:pPr>
      <w:r w:rsidRPr="001A14F2">
        <w:rPr>
          <w:rFonts w:ascii="Arial" w:hAnsi="Arial" w:cs="Arial"/>
          <w:sz w:val="20"/>
          <w:szCs w:val="20"/>
        </w:rPr>
        <w:t>Shawn reminded members</w:t>
      </w:r>
      <w:r w:rsidR="001A14F2">
        <w:rPr>
          <w:rFonts w:ascii="Arial" w:hAnsi="Arial" w:cs="Arial"/>
          <w:sz w:val="20"/>
          <w:szCs w:val="20"/>
        </w:rPr>
        <w:t xml:space="preserve"> that </w:t>
      </w:r>
      <w:r w:rsidR="001A14F2">
        <w:rPr>
          <w:rFonts w:ascii="Arial" w:hAnsi="Arial" w:cs="Arial"/>
          <w:color w:val="000000" w:themeColor="text1"/>
          <w:sz w:val="20"/>
          <w:szCs w:val="20"/>
          <w:shd w:val="clear" w:color="auto" w:fill="FFFFFF"/>
        </w:rPr>
        <w:t>a</w:t>
      </w:r>
      <w:r w:rsidR="001A14F2" w:rsidRPr="001A14F2">
        <w:rPr>
          <w:rFonts w:ascii="Arial" w:hAnsi="Arial" w:cs="Arial"/>
          <w:color w:val="000000" w:themeColor="text1"/>
          <w:sz w:val="20"/>
          <w:szCs w:val="20"/>
          <w:shd w:val="clear" w:color="auto" w:fill="FFFFFF"/>
        </w:rPr>
        <w:t xml:space="preserve"> three-judge panel in the 9</w:t>
      </w:r>
      <w:r w:rsidR="001A14F2" w:rsidRPr="001A14F2">
        <w:rPr>
          <w:rFonts w:ascii="Arial" w:hAnsi="Arial" w:cs="Arial"/>
          <w:color w:val="000000" w:themeColor="text1"/>
          <w:sz w:val="20"/>
          <w:szCs w:val="20"/>
          <w:bdr w:val="none" w:sz="0" w:space="0" w:color="auto" w:frame="1"/>
          <w:shd w:val="clear" w:color="auto" w:fill="FFFFFF"/>
          <w:vertAlign w:val="superscript"/>
        </w:rPr>
        <w:t>th</w:t>
      </w:r>
      <w:r w:rsidR="001A14F2" w:rsidRPr="001A14F2">
        <w:rPr>
          <w:rFonts w:ascii="Arial" w:hAnsi="Arial" w:cs="Arial"/>
          <w:color w:val="000000" w:themeColor="text1"/>
          <w:sz w:val="20"/>
          <w:szCs w:val="20"/>
          <w:shd w:val="clear" w:color="auto" w:fill="FFFFFF"/>
        </w:rPr>
        <w:t> U.S. Circuit Court of Appeals</w:t>
      </w:r>
      <w:r w:rsidR="001A14F2" w:rsidRPr="001A14F2">
        <w:rPr>
          <w:rFonts w:ascii="Lato" w:hAnsi="Lato"/>
          <w:color w:val="000000" w:themeColor="text1"/>
          <w:sz w:val="23"/>
          <w:szCs w:val="23"/>
          <w:shd w:val="clear" w:color="auto" w:fill="FFFFFF"/>
        </w:rPr>
        <w:t> </w:t>
      </w:r>
      <w:r w:rsidR="001A14F2" w:rsidRPr="001A14F2">
        <w:rPr>
          <w:rFonts w:ascii="Arial" w:eastAsia="Calibri" w:hAnsi="Arial" w:cs="Arial"/>
          <w:color w:val="000000"/>
          <w:sz w:val="20"/>
          <w:szCs w:val="20"/>
        </w:rPr>
        <w:t>issued a new ruling in </w:t>
      </w:r>
      <w:r w:rsidR="001A14F2" w:rsidRPr="001A14F2">
        <w:rPr>
          <w:rFonts w:ascii="Arial" w:eastAsia="Calibri" w:hAnsi="Arial" w:cs="Arial"/>
          <w:i/>
          <w:iCs/>
          <w:color w:val="000000"/>
          <w:sz w:val="20"/>
          <w:szCs w:val="20"/>
        </w:rPr>
        <w:t>Wit v. United Behavioral Health</w:t>
      </w:r>
      <w:r w:rsidR="001A14F2" w:rsidRPr="001A14F2">
        <w:rPr>
          <w:rFonts w:ascii="Arial" w:eastAsia="Calibri" w:hAnsi="Arial" w:cs="Arial"/>
          <w:color w:val="000000"/>
          <w:sz w:val="20"/>
          <w:szCs w:val="20"/>
        </w:rPr>
        <w:t> (UBH)</w:t>
      </w:r>
      <w:r w:rsidR="006E7E82">
        <w:rPr>
          <w:rFonts w:ascii="Arial" w:eastAsia="Calibri" w:hAnsi="Arial" w:cs="Arial"/>
          <w:color w:val="000000"/>
          <w:sz w:val="20"/>
          <w:szCs w:val="20"/>
        </w:rPr>
        <w:t xml:space="preserve"> in late January</w:t>
      </w:r>
      <w:r w:rsidR="001A14F2" w:rsidRPr="001A14F2">
        <w:rPr>
          <w:rFonts w:ascii="Arial" w:eastAsia="Calibri" w:hAnsi="Arial" w:cs="Arial"/>
          <w:color w:val="000000"/>
          <w:sz w:val="20"/>
          <w:szCs w:val="20"/>
        </w:rPr>
        <w:t xml:space="preserve"> that replaced its </w:t>
      </w:r>
      <w:r w:rsidR="006E7E82">
        <w:rPr>
          <w:rFonts w:ascii="Arial" w:eastAsia="Calibri" w:hAnsi="Arial" w:cs="Arial"/>
          <w:color w:val="000000"/>
          <w:sz w:val="20"/>
          <w:szCs w:val="20"/>
        </w:rPr>
        <w:t>March 2022 ruling.</w:t>
      </w:r>
      <w:r w:rsidR="001A14F2" w:rsidRPr="001A14F2">
        <w:rPr>
          <w:rFonts w:ascii="Arial" w:eastAsia="Calibri" w:hAnsi="Arial" w:cs="Arial"/>
          <w:color w:val="000000"/>
          <w:sz w:val="20"/>
          <w:szCs w:val="20"/>
        </w:rPr>
        <w:t xml:space="preserve"> This new ruling </w:t>
      </w:r>
      <w:r w:rsidR="001A14F2">
        <w:rPr>
          <w:rFonts w:ascii="Arial" w:eastAsia="Calibri" w:hAnsi="Arial" w:cs="Arial"/>
          <w:color w:val="000000"/>
          <w:sz w:val="20"/>
          <w:szCs w:val="20"/>
        </w:rPr>
        <w:t>affirms</w:t>
      </w:r>
      <w:r w:rsidR="001A14F2" w:rsidRPr="001A14F2">
        <w:rPr>
          <w:rFonts w:ascii="Arial" w:eastAsia="Calibri" w:hAnsi="Arial" w:cs="Arial"/>
          <w:color w:val="000000"/>
          <w:sz w:val="20"/>
          <w:szCs w:val="20"/>
        </w:rPr>
        <w:t xml:space="preserve"> parts of the trial court decision </w:t>
      </w:r>
      <w:r w:rsidR="001A14F2">
        <w:rPr>
          <w:rFonts w:ascii="Arial" w:eastAsia="Calibri" w:hAnsi="Arial" w:cs="Arial"/>
          <w:color w:val="000000"/>
          <w:sz w:val="20"/>
          <w:szCs w:val="20"/>
        </w:rPr>
        <w:t>and reverses</w:t>
      </w:r>
      <w:r w:rsidR="001A14F2" w:rsidRPr="001A14F2">
        <w:rPr>
          <w:rFonts w:ascii="Arial" w:eastAsia="Calibri" w:hAnsi="Arial" w:cs="Arial"/>
          <w:color w:val="000000"/>
          <w:sz w:val="20"/>
          <w:szCs w:val="20"/>
        </w:rPr>
        <w:t xml:space="preserve"> key other parts, including retrospective relief for individuals denied coverage. </w:t>
      </w:r>
      <w:r w:rsidR="006E7E82">
        <w:rPr>
          <w:rFonts w:ascii="Arial" w:eastAsia="Calibri" w:hAnsi="Arial" w:cs="Arial"/>
          <w:color w:val="000000"/>
          <w:sz w:val="20"/>
          <w:szCs w:val="20"/>
        </w:rPr>
        <w:t>Here are the details:</w:t>
      </w:r>
    </w:p>
    <w:p w14:paraId="613B120D" w14:textId="77777777" w:rsidR="001A14F2" w:rsidRPr="001A14F2" w:rsidRDefault="001A14F2" w:rsidP="001A14F2">
      <w:pPr>
        <w:shd w:val="clear" w:color="auto" w:fill="FFFFFF"/>
        <w:spacing w:after="0" w:line="240" w:lineRule="auto"/>
        <w:ind w:left="1440"/>
        <w:rPr>
          <w:rFonts w:ascii="Arial" w:eastAsia="Calibri" w:hAnsi="Arial" w:cs="Arial"/>
          <w:color w:val="212121"/>
          <w:sz w:val="20"/>
          <w:szCs w:val="20"/>
        </w:rPr>
      </w:pPr>
      <w:r w:rsidRPr="001A14F2">
        <w:rPr>
          <w:rFonts w:ascii="Arial" w:eastAsia="Calibri" w:hAnsi="Arial" w:cs="Arial"/>
          <w:color w:val="000000"/>
          <w:sz w:val="20"/>
          <w:szCs w:val="20"/>
        </w:rPr>
        <w:t> </w:t>
      </w:r>
    </w:p>
    <w:p w14:paraId="32305AE9" w14:textId="05516F13" w:rsidR="001A14F2" w:rsidRPr="001A14F2" w:rsidRDefault="001A14F2" w:rsidP="001A14F2">
      <w:pPr>
        <w:shd w:val="clear" w:color="auto" w:fill="FFFFFF"/>
        <w:spacing w:after="0" w:line="240" w:lineRule="auto"/>
        <w:ind w:left="1440"/>
        <w:rPr>
          <w:rFonts w:ascii="Arial" w:eastAsia="Times New Roman" w:hAnsi="Arial" w:cs="Arial"/>
          <w:color w:val="000000"/>
          <w:sz w:val="20"/>
          <w:szCs w:val="20"/>
        </w:rPr>
      </w:pPr>
      <w:r w:rsidRPr="001A14F2">
        <w:rPr>
          <w:rFonts w:ascii="Arial" w:eastAsia="Times New Roman" w:hAnsi="Arial" w:cs="Arial"/>
          <w:color w:val="000000"/>
          <w:sz w:val="20"/>
          <w:szCs w:val="20"/>
        </w:rPr>
        <w:t>The new panel ruling holds that UBH violated its fiduciary duty to plan members by creating flawed medical necessity criteria that were infected by its financial interest.</w:t>
      </w:r>
      <w:r w:rsidR="006E7E82">
        <w:rPr>
          <w:rFonts w:ascii="Arial" w:eastAsia="Times New Roman" w:hAnsi="Arial" w:cs="Arial"/>
          <w:color w:val="000000"/>
          <w:sz w:val="20"/>
          <w:szCs w:val="20"/>
        </w:rPr>
        <w:t xml:space="preserve"> This ruling is consistent</w:t>
      </w:r>
      <w:r w:rsidRPr="001A14F2">
        <w:rPr>
          <w:rFonts w:ascii="Arial" w:eastAsia="Times New Roman" w:hAnsi="Arial" w:cs="Arial"/>
          <w:color w:val="000000"/>
          <w:sz w:val="20"/>
          <w:szCs w:val="20"/>
        </w:rPr>
        <w:t xml:space="preserve"> with NABH</w:t>
      </w:r>
      <w:r w:rsidR="006E7E82">
        <w:rPr>
          <w:rFonts w:ascii="Arial" w:eastAsia="Times New Roman" w:hAnsi="Arial" w:cs="Arial"/>
          <w:color w:val="000000"/>
          <w:sz w:val="20"/>
          <w:szCs w:val="20"/>
        </w:rPr>
        <w:t xml:space="preserve">’s </w:t>
      </w:r>
      <w:r w:rsidRPr="001A14F2">
        <w:rPr>
          <w:rFonts w:ascii="Arial" w:eastAsia="Times New Roman" w:hAnsi="Arial" w:cs="Arial"/>
          <w:color w:val="000000"/>
          <w:sz w:val="20"/>
          <w:szCs w:val="20"/>
        </w:rPr>
        <w:t>position</w:t>
      </w:r>
      <w:r w:rsidR="006E7E82">
        <w:rPr>
          <w:rFonts w:ascii="Arial" w:eastAsia="Times New Roman" w:hAnsi="Arial" w:cs="Arial"/>
          <w:color w:val="000000"/>
          <w:sz w:val="20"/>
          <w:szCs w:val="20"/>
        </w:rPr>
        <w:t>.</w:t>
      </w:r>
    </w:p>
    <w:p w14:paraId="0C994F13" w14:textId="77777777" w:rsidR="001A14F2" w:rsidRPr="001A14F2" w:rsidRDefault="001A14F2" w:rsidP="001A14F2">
      <w:pPr>
        <w:shd w:val="clear" w:color="auto" w:fill="FFFFFF"/>
        <w:spacing w:after="0" w:line="240" w:lineRule="auto"/>
        <w:ind w:left="1440"/>
        <w:rPr>
          <w:rFonts w:ascii="Arial" w:eastAsia="Times New Roman" w:hAnsi="Arial" w:cs="Arial"/>
          <w:color w:val="000000"/>
          <w:sz w:val="20"/>
          <w:szCs w:val="20"/>
        </w:rPr>
      </w:pPr>
    </w:p>
    <w:p w14:paraId="041C5C7D" w14:textId="731C6F7C" w:rsidR="001A14F2" w:rsidRPr="001A14F2" w:rsidRDefault="001A14F2" w:rsidP="001A14F2">
      <w:pPr>
        <w:shd w:val="clear" w:color="auto" w:fill="FFFFFF"/>
        <w:spacing w:after="0" w:line="240" w:lineRule="auto"/>
        <w:ind w:left="1440"/>
        <w:rPr>
          <w:rFonts w:ascii="Arial" w:eastAsia="Times New Roman" w:hAnsi="Arial" w:cs="Arial"/>
          <w:color w:val="000000"/>
          <w:sz w:val="20"/>
          <w:szCs w:val="20"/>
        </w:rPr>
      </w:pPr>
      <w:r w:rsidRPr="001A14F2">
        <w:rPr>
          <w:rFonts w:ascii="Arial" w:eastAsia="Times New Roman" w:hAnsi="Arial" w:cs="Arial"/>
          <w:color w:val="000000"/>
          <w:sz w:val="20"/>
          <w:szCs w:val="20"/>
        </w:rPr>
        <w:t xml:space="preserve">The panel also reinstated the State Mandate Class, </w:t>
      </w:r>
      <w:r w:rsidR="006E7E82">
        <w:rPr>
          <w:rFonts w:ascii="Arial" w:eastAsia="Times New Roman" w:hAnsi="Arial" w:cs="Arial"/>
          <w:color w:val="000000"/>
          <w:sz w:val="20"/>
          <w:szCs w:val="20"/>
        </w:rPr>
        <w:t>composed of</w:t>
      </w:r>
      <w:r w:rsidRPr="001A14F2">
        <w:rPr>
          <w:rFonts w:ascii="Arial" w:eastAsia="Times New Roman" w:hAnsi="Arial" w:cs="Arial"/>
          <w:color w:val="000000"/>
          <w:sz w:val="20"/>
          <w:szCs w:val="20"/>
        </w:rPr>
        <w:t xml:space="preserve"> class members in four states where UBH violated the law that required specific medical necessity criteria</w:t>
      </w:r>
      <w:r w:rsidR="006E7E82">
        <w:rPr>
          <w:rFonts w:ascii="Arial" w:eastAsia="Times New Roman" w:hAnsi="Arial" w:cs="Arial"/>
          <w:color w:val="000000"/>
          <w:sz w:val="20"/>
          <w:szCs w:val="20"/>
        </w:rPr>
        <w:t xml:space="preserve">. This also aligns </w:t>
      </w:r>
      <w:r w:rsidRPr="001A14F2">
        <w:rPr>
          <w:rFonts w:ascii="Arial" w:eastAsia="Times New Roman" w:hAnsi="Arial" w:cs="Arial"/>
          <w:color w:val="000000"/>
          <w:sz w:val="20"/>
          <w:szCs w:val="20"/>
        </w:rPr>
        <w:t>with NABH</w:t>
      </w:r>
      <w:r w:rsidR="006E7E82">
        <w:rPr>
          <w:rFonts w:ascii="Arial" w:eastAsia="Times New Roman" w:hAnsi="Arial" w:cs="Arial"/>
          <w:color w:val="000000"/>
          <w:sz w:val="20"/>
          <w:szCs w:val="20"/>
        </w:rPr>
        <w:t>’s</w:t>
      </w:r>
      <w:r w:rsidRPr="001A14F2">
        <w:rPr>
          <w:rFonts w:ascii="Arial" w:eastAsia="Times New Roman" w:hAnsi="Arial" w:cs="Arial"/>
          <w:color w:val="000000"/>
          <w:sz w:val="20"/>
          <w:szCs w:val="20"/>
        </w:rPr>
        <w:t xml:space="preserve"> position</w:t>
      </w:r>
      <w:r w:rsidR="006E7E82">
        <w:rPr>
          <w:rFonts w:ascii="Arial" w:eastAsia="Times New Roman" w:hAnsi="Arial" w:cs="Arial"/>
          <w:color w:val="000000"/>
          <w:sz w:val="20"/>
          <w:szCs w:val="20"/>
        </w:rPr>
        <w:t>.</w:t>
      </w:r>
    </w:p>
    <w:p w14:paraId="0B83C045" w14:textId="77777777" w:rsidR="001A14F2" w:rsidRPr="001A14F2" w:rsidRDefault="001A14F2" w:rsidP="001A14F2">
      <w:pPr>
        <w:shd w:val="clear" w:color="auto" w:fill="FFFFFF"/>
        <w:spacing w:after="0" w:line="240" w:lineRule="auto"/>
        <w:ind w:left="1440"/>
        <w:rPr>
          <w:rFonts w:ascii="Arial" w:eastAsia="Times New Roman" w:hAnsi="Arial" w:cs="Arial"/>
          <w:color w:val="000000"/>
          <w:sz w:val="20"/>
          <w:szCs w:val="20"/>
        </w:rPr>
      </w:pPr>
    </w:p>
    <w:p w14:paraId="4F14D198" w14:textId="5AD5D652" w:rsidR="001A14F2" w:rsidRDefault="001A14F2" w:rsidP="001A14F2">
      <w:pPr>
        <w:shd w:val="clear" w:color="auto" w:fill="FFFFFF"/>
        <w:spacing w:after="0" w:line="240" w:lineRule="auto"/>
        <w:ind w:left="1440"/>
        <w:rPr>
          <w:rFonts w:ascii="Arial" w:eastAsia="Times New Roman" w:hAnsi="Arial" w:cs="Arial"/>
          <w:color w:val="000000"/>
          <w:sz w:val="20"/>
          <w:szCs w:val="20"/>
        </w:rPr>
      </w:pPr>
      <w:r w:rsidRPr="001A14F2">
        <w:rPr>
          <w:rFonts w:ascii="Arial" w:eastAsia="Times New Roman" w:hAnsi="Arial" w:cs="Arial"/>
          <w:color w:val="000000"/>
          <w:sz w:val="20"/>
          <w:szCs w:val="20"/>
        </w:rPr>
        <w:t xml:space="preserve">The panel’s ruling, however, is very harmful </w:t>
      </w:r>
      <w:r w:rsidR="00C234E2">
        <w:rPr>
          <w:rFonts w:ascii="Arial" w:eastAsia="Times New Roman" w:hAnsi="Arial" w:cs="Arial"/>
          <w:color w:val="000000"/>
          <w:sz w:val="20"/>
          <w:szCs w:val="20"/>
        </w:rPr>
        <w:t>in other</w:t>
      </w:r>
      <w:r w:rsidRPr="001A14F2">
        <w:rPr>
          <w:rFonts w:ascii="Arial" w:eastAsia="Times New Roman" w:hAnsi="Arial" w:cs="Arial"/>
          <w:color w:val="000000"/>
          <w:sz w:val="20"/>
          <w:szCs w:val="20"/>
        </w:rPr>
        <w:t xml:space="preserve"> respects</w:t>
      </w:r>
      <w:r w:rsidR="006E7E82">
        <w:rPr>
          <w:rFonts w:ascii="Arial" w:eastAsia="Times New Roman" w:hAnsi="Arial" w:cs="Arial"/>
          <w:color w:val="000000"/>
          <w:sz w:val="20"/>
          <w:szCs w:val="20"/>
        </w:rPr>
        <w:t>:</w:t>
      </w:r>
      <w:r w:rsidRPr="001A14F2">
        <w:rPr>
          <w:rFonts w:ascii="Arial" w:eastAsia="Times New Roman" w:hAnsi="Arial" w:cs="Arial"/>
          <w:color w:val="000000"/>
          <w:sz w:val="20"/>
          <w:szCs w:val="20"/>
        </w:rPr>
        <w:t> </w:t>
      </w:r>
    </w:p>
    <w:p w14:paraId="4E62CADD" w14:textId="77777777" w:rsidR="006E7E82" w:rsidRPr="001A14F2" w:rsidRDefault="006E7E82" w:rsidP="001A14F2">
      <w:pPr>
        <w:shd w:val="clear" w:color="auto" w:fill="FFFFFF"/>
        <w:spacing w:after="0" w:line="240" w:lineRule="auto"/>
        <w:ind w:left="1440"/>
        <w:rPr>
          <w:rFonts w:ascii="Arial" w:eastAsia="Times New Roman" w:hAnsi="Arial" w:cs="Arial"/>
          <w:color w:val="000000"/>
          <w:sz w:val="20"/>
          <w:szCs w:val="20"/>
        </w:rPr>
      </w:pPr>
    </w:p>
    <w:p w14:paraId="6CB9982C" w14:textId="039689F9" w:rsidR="001A14F2" w:rsidRPr="006E7E82" w:rsidRDefault="001A14F2" w:rsidP="00416E7D">
      <w:pPr>
        <w:pStyle w:val="ListParagraph"/>
        <w:numPr>
          <w:ilvl w:val="0"/>
          <w:numId w:val="4"/>
        </w:numPr>
        <w:shd w:val="clear" w:color="auto" w:fill="FFFFFF"/>
        <w:ind w:left="2160"/>
        <w:rPr>
          <w:rFonts w:ascii="Arial" w:hAnsi="Arial" w:cs="Arial"/>
          <w:color w:val="000000"/>
          <w:sz w:val="20"/>
        </w:rPr>
      </w:pPr>
      <w:r w:rsidRPr="006E7E82">
        <w:rPr>
          <w:rFonts w:ascii="Arial" w:hAnsi="Arial" w:cs="Arial"/>
          <w:color w:val="000000"/>
          <w:sz w:val="20"/>
        </w:rPr>
        <w:t xml:space="preserve">First, it found that the </w:t>
      </w:r>
      <w:r w:rsidRPr="006E7E82">
        <w:rPr>
          <w:rFonts w:ascii="Arial" w:hAnsi="Arial" w:cs="Arial"/>
          <w:b/>
          <w:bCs/>
          <w:color w:val="000000"/>
          <w:sz w:val="20"/>
        </w:rPr>
        <w:t>plaintiffs who were denied care have no right to have their claims reprocessed</w:t>
      </w:r>
      <w:r w:rsidRPr="006E7E82">
        <w:rPr>
          <w:rFonts w:ascii="Arial" w:hAnsi="Arial" w:cs="Arial"/>
          <w:color w:val="000000"/>
          <w:sz w:val="20"/>
        </w:rPr>
        <w:t xml:space="preserve">. This is contrary to longstanding precedent and the views of the U.S. </w:t>
      </w:r>
      <w:r w:rsidR="00DD4E67">
        <w:rPr>
          <w:rFonts w:ascii="Arial" w:hAnsi="Arial" w:cs="Arial"/>
          <w:color w:val="000000"/>
          <w:sz w:val="20"/>
        </w:rPr>
        <w:t>Labor Department (DOL)</w:t>
      </w:r>
      <w:r w:rsidRPr="006E7E82">
        <w:rPr>
          <w:rFonts w:ascii="Arial" w:hAnsi="Arial" w:cs="Arial"/>
          <w:color w:val="000000"/>
          <w:sz w:val="20"/>
        </w:rPr>
        <w:t xml:space="preserve"> that reprocessing is absolutely the correct remedy under ERISA.</w:t>
      </w:r>
    </w:p>
    <w:p w14:paraId="7DF3F30B" w14:textId="77777777" w:rsidR="006E7E82" w:rsidRDefault="006E7E82" w:rsidP="00416E7D">
      <w:pPr>
        <w:shd w:val="clear" w:color="auto" w:fill="FFFFFF"/>
        <w:spacing w:after="0" w:line="240" w:lineRule="auto"/>
        <w:ind w:left="1440"/>
        <w:rPr>
          <w:rFonts w:ascii="Arial" w:eastAsia="Times New Roman" w:hAnsi="Arial" w:cs="Arial"/>
          <w:color w:val="000000"/>
          <w:sz w:val="20"/>
          <w:szCs w:val="20"/>
        </w:rPr>
      </w:pPr>
    </w:p>
    <w:p w14:paraId="270FB5AA" w14:textId="279D6693" w:rsidR="001A14F2" w:rsidRPr="006E7E82" w:rsidRDefault="001A14F2" w:rsidP="00416E7D">
      <w:pPr>
        <w:pStyle w:val="ListParagraph"/>
        <w:numPr>
          <w:ilvl w:val="0"/>
          <w:numId w:val="4"/>
        </w:numPr>
        <w:shd w:val="clear" w:color="auto" w:fill="FFFFFF"/>
        <w:ind w:left="2160"/>
        <w:rPr>
          <w:rFonts w:ascii="Arial" w:hAnsi="Arial" w:cs="Arial"/>
          <w:color w:val="000000"/>
          <w:sz w:val="20"/>
        </w:rPr>
      </w:pPr>
      <w:r w:rsidRPr="006E7E82">
        <w:rPr>
          <w:rFonts w:ascii="Arial" w:hAnsi="Arial" w:cs="Arial"/>
          <w:color w:val="000000"/>
          <w:sz w:val="20"/>
        </w:rPr>
        <w:t xml:space="preserve">Second, the panel ruled that </w:t>
      </w:r>
      <w:r w:rsidRPr="006E7E82">
        <w:rPr>
          <w:rFonts w:ascii="Arial" w:hAnsi="Arial" w:cs="Arial"/>
          <w:b/>
          <w:bCs/>
          <w:color w:val="000000"/>
          <w:sz w:val="20"/>
        </w:rPr>
        <w:t>all class members, not just the named plaintiffs, must have exhausted all their internal appeals to pursue a claim for benefits</w:t>
      </w:r>
      <w:r w:rsidRPr="006E7E82">
        <w:rPr>
          <w:rFonts w:ascii="Arial" w:hAnsi="Arial" w:cs="Arial"/>
          <w:color w:val="000000"/>
          <w:sz w:val="20"/>
        </w:rPr>
        <w:t xml:space="preserve">. It is well recognized that most people do not appeal denied claims, so </w:t>
      </w:r>
      <w:r w:rsidRPr="006E7E82">
        <w:rPr>
          <w:rFonts w:ascii="Arial" w:hAnsi="Arial" w:cs="Arial"/>
          <w:color w:val="000000"/>
          <w:sz w:val="20"/>
        </w:rPr>
        <w:lastRenderedPageBreak/>
        <w:t xml:space="preserve">this holding could preclude most of the current class members from being able to pursue claims to challenge the benefit denials. Again, this is contrary to precedent, and we anticipate that </w:t>
      </w:r>
      <w:r w:rsidR="00416E7D">
        <w:rPr>
          <w:rFonts w:ascii="Arial" w:hAnsi="Arial" w:cs="Arial"/>
          <w:color w:val="000000"/>
          <w:sz w:val="20"/>
        </w:rPr>
        <w:t>DOL</w:t>
      </w:r>
      <w:r w:rsidRPr="006E7E82">
        <w:rPr>
          <w:rFonts w:ascii="Arial" w:hAnsi="Arial" w:cs="Arial"/>
          <w:color w:val="000000"/>
          <w:sz w:val="20"/>
        </w:rPr>
        <w:t xml:space="preserve"> will agree with our position.  </w:t>
      </w:r>
    </w:p>
    <w:p w14:paraId="6893E858" w14:textId="77777777" w:rsidR="006E7E82" w:rsidRDefault="006E7E82" w:rsidP="00416E7D">
      <w:pPr>
        <w:shd w:val="clear" w:color="auto" w:fill="FFFFFF"/>
        <w:spacing w:after="0" w:line="240" w:lineRule="auto"/>
        <w:ind w:left="1440"/>
        <w:rPr>
          <w:rFonts w:ascii="Arial" w:eastAsia="Times New Roman" w:hAnsi="Arial" w:cs="Arial"/>
          <w:color w:val="000000"/>
          <w:sz w:val="20"/>
          <w:szCs w:val="20"/>
        </w:rPr>
      </w:pPr>
    </w:p>
    <w:p w14:paraId="20B900F8" w14:textId="12BFF12C" w:rsidR="001A14F2" w:rsidRPr="006E7E82" w:rsidRDefault="001A14F2" w:rsidP="00416E7D">
      <w:pPr>
        <w:pStyle w:val="ListParagraph"/>
        <w:numPr>
          <w:ilvl w:val="0"/>
          <w:numId w:val="4"/>
        </w:numPr>
        <w:shd w:val="clear" w:color="auto" w:fill="FFFFFF"/>
        <w:ind w:left="2160"/>
        <w:rPr>
          <w:rFonts w:ascii="Arial" w:hAnsi="Arial" w:cs="Arial"/>
          <w:color w:val="000000"/>
          <w:sz w:val="20"/>
        </w:rPr>
      </w:pPr>
      <w:r w:rsidRPr="006E7E82">
        <w:rPr>
          <w:rFonts w:ascii="Arial" w:hAnsi="Arial" w:cs="Arial"/>
          <w:color w:val="000000"/>
          <w:sz w:val="20"/>
        </w:rPr>
        <w:t xml:space="preserve">The panel also </w:t>
      </w:r>
      <w:r w:rsidRPr="006E7E82">
        <w:rPr>
          <w:rFonts w:ascii="Arial" w:hAnsi="Arial" w:cs="Arial"/>
          <w:b/>
          <w:bCs/>
          <w:color w:val="000000"/>
          <w:sz w:val="20"/>
        </w:rPr>
        <w:t>reasserted its holding from its initial decision that UBH is free to use medical necessity criteria for making coverage determinations that are inconsistent with generally accepted standards of care</w:t>
      </w:r>
      <w:r w:rsidRPr="006E7E82">
        <w:rPr>
          <w:rFonts w:ascii="Arial" w:hAnsi="Arial" w:cs="Arial"/>
          <w:color w:val="000000"/>
          <w:sz w:val="20"/>
        </w:rPr>
        <w:t>, a position that threatens the ability of ERISA beneficiaries to get coverage for all the health care services they need. </w:t>
      </w:r>
    </w:p>
    <w:p w14:paraId="1EE531B6" w14:textId="77777777" w:rsidR="006E7E82" w:rsidRDefault="006E7E82" w:rsidP="006E7E82">
      <w:pPr>
        <w:shd w:val="clear" w:color="auto" w:fill="FFFFFF"/>
        <w:spacing w:after="0" w:line="240" w:lineRule="auto"/>
        <w:rPr>
          <w:rFonts w:ascii="Arial" w:eastAsia="Times New Roman" w:hAnsi="Arial" w:cs="Arial"/>
          <w:color w:val="000000"/>
          <w:sz w:val="20"/>
          <w:szCs w:val="20"/>
        </w:rPr>
      </w:pPr>
    </w:p>
    <w:p w14:paraId="4A8099DB" w14:textId="19CC6C3D" w:rsidR="00416E7D" w:rsidRDefault="001A14F2" w:rsidP="00416E7D">
      <w:pPr>
        <w:shd w:val="clear" w:color="auto" w:fill="FFFFFF"/>
        <w:spacing w:after="0" w:line="240" w:lineRule="auto"/>
        <w:ind w:left="1440"/>
        <w:rPr>
          <w:rFonts w:ascii="Arial" w:eastAsia="Times New Roman" w:hAnsi="Arial" w:cs="Arial"/>
          <w:color w:val="000000"/>
          <w:sz w:val="20"/>
          <w:szCs w:val="20"/>
        </w:rPr>
      </w:pPr>
      <w:r w:rsidRPr="001A14F2">
        <w:rPr>
          <w:rFonts w:ascii="Arial" w:eastAsia="Times New Roman" w:hAnsi="Arial" w:cs="Arial"/>
          <w:color w:val="000000"/>
          <w:sz w:val="20"/>
          <w:szCs w:val="20"/>
        </w:rPr>
        <w:t xml:space="preserve">If </w:t>
      </w:r>
      <w:r w:rsidR="00C234E2">
        <w:rPr>
          <w:rFonts w:ascii="Arial" w:eastAsia="Times New Roman" w:hAnsi="Arial" w:cs="Arial"/>
          <w:color w:val="000000"/>
          <w:sz w:val="20"/>
          <w:szCs w:val="20"/>
        </w:rPr>
        <w:t xml:space="preserve">the ruling is </w:t>
      </w:r>
      <w:r w:rsidRPr="001A14F2">
        <w:rPr>
          <w:rFonts w:ascii="Arial" w:eastAsia="Times New Roman" w:hAnsi="Arial" w:cs="Arial"/>
          <w:color w:val="000000"/>
          <w:sz w:val="20"/>
          <w:szCs w:val="20"/>
        </w:rPr>
        <w:t>allowed to stand, these holdings will severely damage Americans’ rights to not only mental health and addiction coverage, but also to any health coverage, retirement, or other benefits under ERISA.</w:t>
      </w:r>
    </w:p>
    <w:p w14:paraId="59D9F107" w14:textId="77777777" w:rsidR="00416E7D" w:rsidRDefault="00416E7D" w:rsidP="00416E7D">
      <w:pPr>
        <w:shd w:val="clear" w:color="auto" w:fill="FFFFFF"/>
        <w:spacing w:after="0" w:line="240" w:lineRule="auto"/>
        <w:ind w:left="1440"/>
        <w:rPr>
          <w:rFonts w:ascii="Arial" w:eastAsia="Times New Roman" w:hAnsi="Arial" w:cs="Arial"/>
          <w:color w:val="000000"/>
          <w:sz w:val="20"/>
          <w:szCs w:val="20"/>
        </w:rPr>
      </w:pPr>
    </w:p>
    <w:p w14:paraId="2452C3C8" w14:textId="08071BB1" w:rsidR="00416E7D" w:rsidRDefault="00C234E2" w:rsidP="00416E7D">
      <w:pPr>
        <w:shd w:val="clear" w:color="auto" w:fill="FFFFFF"/>
        <w:spacing w:after="0" w:line="240" w:lineRule="auto"/>
        <w:ind w:left="1440"/>
        <w:rPr>
          <w:rFonts w:ascii="Arial" w:eastAsia="Calibri" w:hAnsi="Arial" w:cs="Arial"/>
          <w:color w:val="000000"/>
          <w:sz w:val="20"/>
          <w:szCs w:val="20"/>
        </w:rPr>
      </w:pPr>
      <w:r>
        <w:rPr>
          <w:rFonts w:ascii="Arial" w:eastAsia="Calibri" w:hAnsi="Arial" w:cs="Arial"/>
          <w:color w:val="000000"/>
          <w:sz w:val="20"/>
          <w:szCs w:val="20"/>
        </w:rPr>
        <w:t>The plaintiffs</w:t>
      </w:r>
      <w:r w:rsidR="001A14F2" w:rsidRPr="001A14F2">
        <w:rPr>
          <w:rFonts w:ascii="Arial" w:eastAsia="Calibri" w:hAnsi="Arial" w:cs="Arial"/>
          <w:color w:val="000000"/>
          <w:sz w:val="20"/>
          <w:szCs w:val="20"/>
        </w:rPr>
        <w:t xml:space="preserve"> will file another petition for </w:t>
      </w:r>
      <w:r w:rsidR="001A14F2" w:rsidRPr="001A14F2">
        <w:rPr>
          <w:rFonts w:ascii="Arial" w:eastAsia="Calibri" w:hAnsi="Arial" w:cs="Arial"/>
          <w:i/>
          <w:iCs/>
          <w:color w:val="000000"/>
          <w:sz w:val="20"/>
          <w:szCs w:val="20"/>
        </w:rPr>
        <w:t>en banc </w:t>
      </w:r>
      <w:r w:rsidR="001A14F2" w:rsidRPr="001A14F2">
        <w:rPr>
          <w:rFonts w:ascii="Arial" w:eastAsia="Calibri" w:hAnsi="Arial" w:cs="Arial"/>
          <w:color w:val="000000"/>
          <w:sz w:val="20"/>
          <w:szCs w:val="20"/>
        </w:rPr>
        <w:t xml:space="preserve">review (a rehearing before the full Ninth Circuit). That petition </w:t>
      </w:r>
      <w:r>
        <w:rPr>
          <w:rFonts w:ascii="Arial" w:eastAsia="Calibri" w:hAnsi="Arial" w:cs="Arial"/>
          <w:color w:val="000000"/>
          <w:sz w:val="20"/>
          <w:szCs w:val="20"/>
        </w:rPr>
        <w:t>is</w:t>
      </w:r>
      <w:r w:rsidR="001A14F2" w:rsidRPr="001A14F2">
        <w:rPr>
          <w:rFonts w:ascii="Arial" w:eastAsia="Calibri" w:hAnsi="Arial" w:cs="Arial"/>
          <w:color w:val="000000"/>
          <w:sz w:val="20"/>
          <w:szCs w:val="20"/>
        </w:rPr>
        <w:t xml:space="preserve"> due by early March. Another round of amicus briefs </w:t>
      </w:r>
      <w:r w:rsidR="00416E7D">
        <w:rPr>
          <w:rFonts w:ascii="Arial" w:eastAsia="Calibri" w:hAnsi="Arial" w:cs="Arial"/>
          <w:color w:val="000000"/>
          <w:sz w:val="20"/>
          <w:szCs w:val="20"/>
        </w:rPr>
        <w:t>are needed to support the request</w:t>
      </w:r>
      <w:r w:rsidR="001A14F2" w:rsidRPr="001A14F2">
        <w:rPr>
          <w:rFonts w:ascii="Arial" w:eastAsia="Calibri" w:hAnsi="Arial" w:cs="Arial"/>
          <w:color w:val="000000"/>
          <w:sz w:val="20"/>
          <w:szCs w:val="20"/>
        </w:rPr>
        <w:t xml:space="preserve"> for a rehearing. </w:t>
      </w:r>
    </w:p>
    <w:p w14:paraId="6FD23872" w14:textId="77777777" w:rsidR="00416E7D" w:rsidRDefault="00416E7D" w:rsidP="00416E7D">
      <w:pPr>
        <w:shd w:val="clear" w:color="auto" w:fill="FFFFFF"/>
        <w:spacing w:after="0" w:line="240" w:lineRule="auto"/>
        <w:ind w:left="1440"/>
        <w:rPr>
          <w:rFonts w:ascii="Arial" w:eastAsia="Calibri" w:hAnsi="Arial" w:cs="Arial"/>
          <w:color w:val="000000"/>
          <w:sz w:val="20"/>
          <w:szCs w:val="20"/>
        </w:rPr>
      </w:pPr>
    </w:p>
    <w:p w14:paraId="7E1F84B1" w14:textId="13BE1298" w:rsidR="00F058C2" w:rsidRPr="00C234E2" w:rsidRDefault="001A14F2" w:rsidP="00C234E2">
      <w:pPr>
        <w:shd w:val="clear" w:color="auto" w:fill="FFFFFF"/>
        <w:spacing w:after="0" w:line="240" w:lineRule="auto"/>
        <w:ind w:left="1440"/>
        <w:rPr>
          <w:rFonts w:ascii="Arial" w:eastAsia="Times New Roman" w:hAnsi="Arial" w:cs="Arial"/>
          <w:color w:val="000000"/>
          <w:sz w:val="20"/>
          <w:szCs w:val="20"/>
        </w:rPr>
      </w:pPr>
      <w:r w:rsidRPr="001A14F2">
        <w:rPr>
          <w:rFonts w:ascii="Arial" w:eastAsia="Calibri" w:hAnsi="Arial" w:cs="Arial"/>
          <w:color w:val="000000"/>
          <w:sz w:val="20"/>
          <w:szCs w:val="20"/>
        </w:rPr>
        <w:t>NABH will submit an amicus brief in support.  We do not anticipate another PR campaign in support</w:t>
      </w:r>
      <w:r w:rsidR="00416E7D">
        <w:rPr>
          <w:rFonts w:ascii="Arial" w:eastAsia="Calibri" w:hAnsi="Arial" w:cs="Arial"/>
          <w:color w:val="000000"/>
          <w:sz w:val="20"/>
          <w:szCs w:val="20"/>
        </w:rPr>
        <w:t>; however, we will use our social media platforms to support a rehearing.</w:t>
      </w:r>
    </w:p>
    <w:p w14:paraId="6C7E0EBC" w14:textId="77777777" w:rsidR="00AB043F" w:rsidRPr="00AB043F" w:rsidRDefault="00AB043F" w:rsidP="00AB043F">
      <w:pPr>
        <w:pStyle w:val="ListParagraph"/>
        <w:jc w:val="both"/>
        <w:rPr>
          <w:rFonts w:ascii="Arial" w:hAnsi="Arial" w:cs="Arial"/>
          <w:b/>
          <w:bCs/>
          <w:sz w:val="20"/>
        </w:rPr>
      </w:pPr>
    </w:p>
    <w:p w14:paraId="3B083769" w14:textId="5C9A5BAD" w:rsidR="00AB043F" w:rsidRDefault="00AB043F" w:rsidP="00AB043F">
      <w:pPr>
        <w:numPr>
          <w:ilvl w:val="0"/>
          <w:numId w:val="1"/>
        </w:numPr>
        <w:autoSpaceDN w:val="0"/>
        <w:spacing w:after="0" w:line="240" w:lineRule="auto"/>
        <w:jc w:val="both"/>
        <w:rPr>
          <w:rFonts w:ascii="Arial" w:hAnsi="Arial" w:cs="Arial"/>
          <w:b/>
          <w:bCs/>
          <w:sz w:val="20"/>
        </w:rPr>
      </w:pPr>
      <w:r w:rsidRPr="00AB043F">
        <w:rPr>
          <w:rFonts w:ascii="Arial" w:hAnsi="Arial" w:cs="Arial"/>
          <w:b/>
          <w:bCs/>
          <w:sz w:val="20"/>
        </w:rPr>
        <w:t>NABH Education and Research Foundation-Manatt Telehealth Issue Brief</w:t>
      </w:r>
    </w:p>
    <w:p w14:paraId="28BBE799" w14:textId="7C7AD447" w:rsidR="002C319C" w:rsidRDefault="00D630A5" w:rsidP="002C319C">
      <w:pPr>
        <w:autoSpaceDN w:val="0"/>
        <w:spacing w:after="0" w:line="240" w:lineRule="auto"/>
        <w:ind w:left="1440"/>
        <w:jc w:val="both"/>
        <w:rPr>
          <w:rFonts w:ascii="Arial" w:hAnsi="Arial" w:cs="Arial"/>
          <w:sz w:val="20"/>
        </w:rPr>
      </w:pPr>
      <w:r>
        <w:rPr>
          <w:rFonts w:ascii="Arial" w:hAnsi="Arial" w:cs="Arial"/>
          <w:sz w:val="20"/>
        </w:rPr>
        <w:t>Shawn reminded members that on Feb. 1, the</w:t>
      </w:r>
      <w:r w:rsidR="001832D0">
        <w:rPr>
          <w:rFonts w:ascii="Arial" w:hAnsi="Arial" w:cs="Arial"/>
          <w:sz w:val="20"/>
        </w:rPr>
        <w:t xml:space="preserve"> NABH Education and Research Foundation and Manatt released the foundation’s first resource, a telehealth issue brief </w:t>
      </w:r>
      <w:r>
        <w:rPr>
          <w:rFonts w:ascii="Arial" w:hAnsi="Arial" w:cs="Arial"/>
          <w:sz w:val="20"/>
        </w:rPr>
        <w:t>highlighting</w:t>
      </w:r>
      <w:r w:rsidR="001832D0">
        <w:rPr>
          <w:rFonts w:ascii="Arial" w:hAnsi="Arial" w:cs="Arial"/>
          <w:sz w:val="20"/>
        </w:rPr>
        <w:t xml:space="preserve"> how telehealth services effectively augment traditional partial hospitalization programs and intensive outpatient programs. </w:t>
      </w:r>
    </w:p>
    <w:p w14:paraId="0F2EA48D" w14:textId="0B6B7956" w:rsidR="00D630A5" w:rsidRDefault="00D630A5" w:rsidP="002C319C">
      <w:pPr>
        <w:autoSpaceDN w:val="0"/>
        <w:spacing w:after="0" w:line="240" w:lineRule="auto"/>
        <w:ind w:left="1440"/>
        <w:jc w:val="both"/>
        <w:rPr>
          <w:rFonts w:ascii="Arial" w:hAnsi="Arial" w:cs="Arial"/>
          <w:sz w:val="20"/>
        </w:rPr>
      </w:pPr>
    </w:p>
    <w:p w14:paraId="351A8FFD" w14:textId="2F9CF915" w:rsidR="00D630A5" w:rsidRDefault="00D630A5" w:rsidP="002C319C">
      <w:pPr>
        <w:autoSpaceDN w:val="0"/>
        <w:spacing w:after="0" w:line="240" w:lineRule="auto"/>
        <w:ind w:left="1440"/>
        <w:jc w:val="both"/>
        <w:rPr>
          <w:rFonts w:ascii="Arial" w:hAnsi="Arial" w:cs="Arial"/>
          <w:color w:val="000000" w:themeColor="text1"/>
          <w:sz w:val="20"/>
        </w:rPr>
      </w:pPr>
      <w:r>
        <w:rPr>
          <w:rFonts w:ascii="Arial" w:hAnsi="Arial" w:cs="Arial"/>
          <w:sz w:val="20"/>
        </w:rPr>
        <w:t xml:space="preserve">NABH members provided data and interviews for the study, which showed that using telehealth services improved access to care and optimized the reach of existing personally. In addition, the </w:t>
      </w:r>
      <w:r w:rsidRPr="00D630A5">
        <w:rPr>
          <w:rFonts w:ascii="Arial" w:hAnsi="Arial" w:cs="Arial"/>
          <w:color w:val="000000" w:themeColor="text1"/>
          <w:sz w:val="20"/>
          <w:szCs w:val="20"/>
        </w:rPr>
        <w:t>initial findings from several NABH members also indicated that, relative to in-person services, telehealth delivery-of-care produced similar or better outcomes for PHP and IOP patients.</w:t>
      </w:r>
      <w:r w:rsidRPr="00D630A5">
        <w:rPr>
          <w:rFonts w:ascii="Arial" w:hAnsi="Arial" w:cs="Arial"/>
          <w:color w:val="000000" w:themeColor="text1"/>
          <w:sz w:val="20"/>
        </w:rPr>
        <w:t xml:space="preserve"> </w:t>
      </w:r>
    </w:p>
    <w:p w14:paraId="340C7299" w14:textId="5C95147F" w:rsidR="00D630A5" w:rsidRDefault="00D630A5" w:rsidP="002C319C">
      <w:pPr>
        <w:autoSpaceDN w:val="0"/>
        <w:spacing w:after="0" w:line="240" w:lineRule="auto"/>
        <w:ind w:left="1440"/>
        <w:jc w:val="both"/>
        <w:rPr>
          <w:rFonts w:ascii="Arial" w:hAnsi="Arial" w:cs="Arial"/>
          <w:sz w:val="20"/>
        </w:rPr>
      </w:pPr>
    </w:p>
    <w:p w14:paraId="5E403FD3" w14:textId="4A1F9BCE" w:rsidR="00D630A5" w:rsidRDefault="00D630A5" w:rsidP="002C319C">
      <w:pPr>
        <w:autoSpaceDN w:val="0"/>
        <w:spacing w:after="0" w:line="240" w:lineRule="auto"/>
        <w:ind w:left="1440"/>
        <w:jc w:val="both"/>
        <w:rPr>
          <w:rFonts w:ascii="Arial" w:hAnsi="Arial" w:cs="Arial"/>
          <w:sz w:val="20"/>
        </w:rPr>
      </w:pPr>
      <w:r>
        <w:rPr>
          <w:rFonts w:ascii="Arial" w:hAnsi="Arial" w:cs="Arial"/>
          <w:sz w:val="20"/>
        </w:rPr>
        <w:t xml:space="preserve">NABH issued a news release on Feb. 1 </w:t>
      </w:r>
      <w:r w:rsidR="00C234E2">
        <w:rPr>
          <w:rFonts w:ascii="Arial" w:hAnsi="Arial" w:cs="Arial"/>
          <w:sz w:val="20"/>
        </w:rPr>
        <w:t xml:space="preserve">and promoted the new resource on social media. NABH also </w:t>
      </w:r>
      <w:r>
        <w:rPr>
          <w:rFonts w:ascii="Arial" w:hAnsi="Arial" w:cs="Arial"/>
          <w:sz w:val="20"/>
        </w:rPr>
        <w:t xml:space="preserve">produced a social media toolkit for members to </w:t>
      </w:r>
      <w:r w:rsidR="00C234E2">
        <w:rPr>
          <w:rFonts w:ascii="Arial" w:hAnsi="Arial" w:cs="Arial"/>
          <w:sz w:val="20"/>
        </w:rPr>
        <w:t xml:space="preserve">share and help </w:t>
      </w:r>
      <w:r>
        <w:rPr>
          <w:rFonts w:ascii="Arial" w:hAnsi="Arial" w:cs="Arial"/>
          <w:sz w:val="20"/>
        </w:rPr>
        <w:t>build awareness about the issue brief, which is posted on the new “Resources” section of the updated NABH Education and Research Foundation webpage.</w:t>
      </w:r>
    </w:p>
    <w:p w14:paraId="78514A53" w14:textId="619D4FE1" w:rsidR="00D630A5" w:rsidRDefault="00D630A5" w:rsidP="002C319C">
      <w:pPr>
        <w:autoSpaceDN w:val="0"/>
        <w:spacing w:after="0" w:line="240" w:lineRule="auto"/>
        <w:ind w:left="1440"/>
        <w:jc w:val="both"/>
        <w:rPr>
          <w:rFonts w:ascii="Arial" w:hAnsi="Arial" w:cs="Arial"/>
          <w:sz w:val="20"/>
        </w:rPr>
      </w:pPr>
    </w:p>
    <w:p w14:paraId="45428D63" w14:textId="2E2B480C" w:rsidR="00AB043F" w:rsidRDefault="00D630A5" w:rsidP="00D630A5">
      <w:pPr>
        <w:autoSpaceDN w:val="0"/>
        <w:spacing w:after="0" w:line="240" w:lineRule="auto"/>
        <w:ind w:left="1440"/>
        <w:jc w:val="both"/>
        <w:rPr>
          <w:rFonts w:ascii="Arial" w:hAnsi="Arial" w:cs="Arial"/>
          <w:sz w:val="20"/>
        </w:rPr>
      </w:pPr>
      <w:r>
        <w:rPr>
          <w:rFonts w:ascii="Arial" w:hAnsi="Arial" w:cs="Arial"/>
          <w:sz w:val="20"/>
        </w:rPr>
        <w:t>Manatt will host a webinar featuring Shawn Coughlin and three NABH members on Wednesday, March 1.</w:t>
      </w:r>
    </w:p>
    <w:p w14:paraId="4D77BB3E" w14:textId="77777777" w:rsidR="00D630A5" w:rsidRPr="00D630A5" w:rsidRDefault="00D630A5" w:rsidP="00D630A5">
      <w:pPr>
        <w:autoSpaceDN w:val="0"/>
        <w:spacing w:after="0" w:line="240" w:lineRule="auto"/>
        <w:ind w:left="1440"/>
        <w:jc w:val="both"/>
        <w:rPr>
          <w:rFonts w:ascii="Arial" w:hAnsi="Arial" w:cs="Arial"/>
          <w:sz w:val="20"/>
        </w:rPr>
      </w:pPr>
    </w:p>
    <w:p w14:paraId="2536EB6E" w14:textId="0937C32E" w:rsidR="00AB043F" w:rsidRDefault="00AB043F" w:rsidP="00DF59D3">
      <w:pPr>
        <w:numPr>
          <w:ilvl w:val="0"/>
          <w:numId w:val="1"/>
        </w:numPr>
        <w:autoSpaceDN w:val="0"/>
        <w:spacing w:after="0" w:line="240" w:lineRule="auto"/>
        <w:jc w:val="both"/>
        <w:rPr>
          <w:rFonts w:ascii="Arial" w:hAnsi="Arial" w:cs="Arial"/>
          <w:b/>
          <w:bCs/>
          <w:sz w:val="20"/>
        </w:rPr>
      </w:pPr>
      <w:r w:rsidRPr="00AB043F">
        <w:rPr>
          <w:rFonts w:ascii="Arial" w:hAnsi="Arial" w:cs="Arial"/>
          <w:b/>
          <w:bCs/>
          <w:sz w:val="20"/>
        </w:rPr>
        <w:t>Legislative Update</w:t>
      </w:r>
    </w:p>
    <w:p w14:paraId="3B47606D" w14:textId="256AEC98" w:rsidR="00C90723" w:rsidRPr="00C90723" w:rsidRDefault="00C90723" w:rsidP="00DF59D3">
      <w:pPr>
        <w:autoSpaceDN w:val="0"/>
        <w:spacing w:after="0" w:line="240" w:lineRule="auto"/>
        <w:ind w:left="1440"/>
        <w:jc w:val="both"/>
        <w:rPr>
          <w:rFonts w:ascii="Arial" w:hAnsi="Arial" w:cs="Arial"/>
          <w:sz w:val="20"/>
        </w:rPr>
      </w:pPr>
      <w:r w:rsidRPr="00C90723">
        <w:rPr>
          <w:rFonts w:ascii="Arial" w:hAnsi="Arial" w:cs="Arial"/>
          <w:sz w:val="20"/>
        </w:rPr>
        <w:t>Shawn reported that all the key congressional committees have announced their rosters. NABH will review these assignments with our Behavioral Healthcare champions.</w:t>
      </w:r>
    </w:p>
    <w:p w14:paraId="1203392C" w14:textId="20B4F812" w:rsidR="00C90723" w:rsidRPr="00C90723" w:rsidRDefault="00C90723" w:rsidP="00C90723">
      <w:pPr>
        <w:autoSpaceDN w:val="0"/>
        <w:spacing w:after="0" w:line="240" w:lineRule="auto"/>
        <w:ind w:left="1440"/>
        <w:jc w:val="both"/>
        <w:rPr>
          <w:rFonts w:ascii="Arial" w:hAnsi="Arial" w:cs="Arial"/>
          <w:sz w:val="20"/>
        </w:rPr>
      </w:pPr>
    </w:p>
    <w:p w14:paraId="599D8F06" w14:textId="23D884DB" w:rsidR="00C90723" w:rsidRDefault="00C90723" w:rsidP="00C90723">
      <w:pPr>
        <w:autoSpaceDN w:val="0"/>
        <w:spacing w:after="0" w:line="240" w:lineRule="auto"/>
        <w:ind w:left="1440"/>
        <w:jc w:val="both"/>
        <w:rPr>
          <w:rFonts w:ascii="Arial" w:hAnsi="Arial" w:cs="Arial"/>
          <w:sz w:val="20"/>
        </w:rPr>
      </w:pPr>
      <w:r w:rsidRPr="00C90723">
        <w:rPr>
          <w:rFonts w:ascii="Arial" w:hAnsi="Arial" w:cs="Arial"/>
          <w:sz w:val="20"/>
        </w:rPr>
        <w:t>The NABH team is updating its legislative and regulatory priorities document</w:t>
      </w:r>
      <w:r w:rsidR="00B4415F">
        <w:rPr>
          <w:rFonts w:ascii="Arial" w:hAnsi="Arial" w:cs="Arial"/>
          <w:sz w:val="20"/>
        </w:rPr>
        <w:t xml:space="preserve"> to focus on 2023 priorities.</w:t>
      </w:r>
      <w:r w:rsidRPr="00C90723">
        <w:rPr>
          <w:rFonts w:ascii="Arial" w:hAnsi="Arial" w:cs="Arial"/>
          <w:sz w:val="20"/>
        </w:rPr>
        <w:t xml:space="preserve"> </w:t>
      </w:r>
    </w:p>
    <w:p w14:paraId="00E791FA" w14:textId="4ED7DE7D" w:rsidR="00C90723" w:rsidRDefault="00C90723" w:rsidP="00C90723">
      <w:pPr>
        <w:autoSpaceDN w:val="0"/>
        <w:spacing w:after="0" w:line="240" w:lineRule="auto"/>
        <w:ind w:left="1440"/>
        <w:jc w:val="both"/>
        <w:rPr>
          <w:rFonts w:ascii="Arial" w:hAnsi="Arial" w:cs="Arial"/>
          <w:sz w:val="20"/>
        </w:rPr>
      </w:pPr>
    </w:p>
    <w:p w14:paraId="4A7F43DE" w14:textId="1B6D0487" w:rsidR="00C90723" w:rsidRDefault="00C90723" w:rsidP="00C90723">
      <w:pPr>
        <w:autoSpaceDN w:val="0"/>
        <w:spacing w:after="0" w:line="240" w:lineRule="auto"/>
        <w:ind w:left="1440"/>
        <w:jc w:val="both"/>
        <w:rPr>
          <w:rFonts w:ascii="Arial" w:hAnsi="Arial" w:cs="Arial"/>
          <w:sz w:val="20"/>
        </w:rPr>
      </w:pPr>
      <w:r>
        <w:rPr>
          <w:rFonts w:ascii="Arial" w:hAnsi="Arial" w:cs="Arial"/>
          <w:sz w:val="20"/>
        </w:rPr>
        <w:t xml:space="preserve">The House Energy and Commerce Committee has alerted NABH that it intends to re-authorize the SUPPORT Act this September. The NABH team has discussed IMD repeal and BHIT incentives as part of the process to re-authorize this legislation. </w:t>
      </w:r>
    </w:p>
    <w:p w14:paraId="40538297" w14:textId="5EC5A2A3" w:rsidR="00C90723" w:rsidRDefault="00C90723" w:rsidP="00C90723">
      <w:pPr>
        <w:autoSpaceDN w:val="0"/>
        <w:spacing w:after="0" w:line="240" w:lineRule="auto"/>
        <w:ind w:left="1440"/>
        <w:jc w:val="both"/>
        <w:rPr>
          <w:rFonts w:ascii="Arial" w:hAnsi="Arial" w:cs="Arial"/>
          <w:sz w:val="20"/>
        </w:rPr>
      </w:pPr>
    </w:p>
    <w:p w14:paraId="5EFD2180" w14:textId="2880E0A4" w:rsidR="00C90723" w:rsidRDefault="00C90723" w:rsidP="00C90723">
      <w:pPr>
        <w:autoSpaceDN w:val="0"/>
        <w:spacing w:after="0" w:line="240" w:lineRule="auto"/>
        <w:ind w:left="1440"/>
        <w:jc w:val="both"/>
        <w:rPr>
          <w:rFonts w:ascii="Arial" w:hAnsi="Arial" w:cs="Arial"/>
          <w:sz w:val="20"/>
        </w:rPr>
      </w:pPr>
      <w:r>
        <w:rPr>
          <w:rFonts w:ascii="Arial" w:hAnsi="Arial" w:cs="Arial"/>
          <w:sz w:val="20"/>
        </w:rPr>
        <w:t xml:space="preserve">Shawn reminded members that HHS recently updated the COVID-19 public health emergency (PHE) for the final time through May 11. NABH </w:t>
      </w:r>
      <w:r w:rsidR="00B4415F">
        <w:rPr>
          <w:rFonts w:ascii="Arial" w:hAnsi="Arial" w:cs="Arial"/>
          <w:sz w:val="20"/>
        </w:rPr>
        <w:t xml:space="preserve">is paying close attention to learn </w:t>
      </w:r>
      <w:r w:rsidR="00237ED3">
        <w:rPr>
          <w:rFonts w:ascii="Arial" w:hAnsi="Arial" w:cs="Arial"/>
          <w:sz w:val="20"/>
        </w:rPr>
        <w:t>how</w:t>
      </w:r>
      <w:r>
        <w:rPr>
          <w:rFonts w:ascii="Arial" w:hAnsi="Arial" w:cs="Arial"/>
          <w:sz w:val="20"/>
        </w:rPr>
        <w:t xml:space="preserve"> CMS will unwind the PHE process for providers.</w:t>
      </w:r>
    </w:p>
    <w:p w14:paraId="4B1E6F8A" w14:textId="69A9D520" w:rsidR="00C90723" w:rsidRDefault="00C90723" w:rsidP="00C90723">
      <w:pPr>
        <w:autoSpaceDN w:val="0"/>
        <w:spacing w:after="0" w:line="240" w:lineRule="auto"/>
        <w:ind w:left="1440"/>
        <w:jc w:val="both"/>
        <w:rPr>
          <w:rFonts w:ascii="Arial" w:hAnsi="Arial" w:cs="Arial"/>
          <w:sz w:val="20"/>
        </w:rPr>
      </w:pPr>
    </w:p>
    <w:p w14:paraId="33621E38" w14:textId="41F627EA" w:rsidR="00C90723" w:rsidRDefault="00C90723" w:rsidP="00C90723">
      <w:pPr>
        <w:autoSpaceDN w:val="0"/>
        <w:spacing w:after="0" w:line="240" w:lineRule="auto"/>
        <w:ind w:left="1440"/>
        <w:jc w:val="both"/>
        <w:rPr>
          <w:rFonts w:ascii="Arial" w:hAnsi="Arial" w:cs="Arial"/>
          <w:sz w:val="20"/>
        </w:rPr>
      </w:pPr>
      <w:r>
        <w:rPr>
          <w:rFonts w:ascii="Arial" w:hAnsi="Arial" w:cs="Arial"/>
          <w:sz w:val="20"/>
        </w:rPr>
        <w:lastRenderedPageBreak/>
        <w:t>Behavioral healthcare access remains a critical access—as does parity benefits and payment—for the Biden administration. Shawn said NABH expects new guidance from the U.S. Labor Department.</w:t>
      </w:r>
    </w:p>
    <w:p w14:paraId="1B661A1F" w14:textId="3704D022" w:rsidR="00C234E2" w:rsidRDefault="00C234E2" w:rsidP="00C90723">
      <w:pPr>
        <w:autoSpaceDN w:val="0"/>
        <w:spacing w:after="0" w:line="240" w:lineRule="auto"/>
        <w:ind w:left="1440"/>
        <w:jc w:val="both"/>
        <w:rPr>
          <w:rFonts w:ascii="Arial" w:hAnsi="Arial" w:cs="Arial"/>
          <w:sz w:val="20"/>
        </w:rPr>
      </w:pPr>
    </w:p>
    <w:p w14:paraId="4EB17D05" w14:textId="5834C7CF" w:rsidR="00C234E2" w:rsidRDefault="00C234E2" w:rsidP="00C90723">
      <w:pPr>
        <w:autoSpaceDN w:val="0"/>
        <w:spacing w:after="0" w:line="240" w:lineRule="auto"/>
        <w:ind w:left="1440"/>
        <w:jc w:val="both"/>
        <w:rPr>
          <w:rFonts w:ascii="Arial" w:hAnsi="Arial" w:cs="Arial"/>
          <w:sz w:val="20"/>
        </w:rPr>
      </w:pPr>
      <w:r>
        <w:rPr>
          <w:rFonts w:ascii="Arial" w:hAnsi="Arial" w:cs="Arial"/>
          <w:sz w:val="20"/>
        </w:rPr>
        <w:t xml:space="preserve">NABH sent members an NABH Alert on </w:t>
      </w:r>
      <w:r w:rsidR="00930C5F">
        <w:rPr>
          <w:rFonts w:ascii="Arial" w:hAnsi="Arial" w:cs="Arial"/>
          <w:sz w:val="20"/>
        </w:rPr>
        <w:t xml:space="preserve">Feb. 7 to preview President Biden’s prepared remarks for his State of the Union address that night. The Biden administration remains focused on behavioral health, including parity in both benefits and payment. </w:t>
      </w:r>
    </w:p>
    <w:p w14:paraId="7BE235CC" w14:textId="3036DF00" w:rsidR="00930C5F" w:rsidRDefault="00930C5F" w:rsidP="00C90723">
      <w:pPr>
        <w:autoSpaceDN w:val="0"/>
        <w:spacing w:after="0" w:line="240" w:lineRule="auto"/>
        <w:ind w:left="1440"/>
        <w:jc w:val="both"/>
        <w:rPr>
          <w:rFonts w:ascii="Arial" w:hAnsi="Arial" w:cs="Arial"/>
          <w:sz w:val="20"/>
        </w:rPr>
      </w:pPr>
    </w:p>
    <w:p w14:paraId="57601931" w14:textId="1702A139" w:rsidR="00C90723" w:rsidRPr="00C90723" w:rsidRDefault="00930C5F" w:rsidP="00930C5F">
      <w:pPr>
        <w:autoSpaceDN w:val="0"/>
        <w:spacing w:after="0" w:line="240" w:lineRule="auto"/>
        <w:ind w:left="1440"/>
        <w:jc w:val="both"/>
        <w:rPr>
          <w:rFonts w:ascii="Arial" w:hAnsi="Arial" w:cs="Arial"/>
          <w:sz w:val="20"/>
        </w:rPr>
      </w:pPr>
      <w:r>
        <w:rPr>
          <w:rFonts w:ascii="Arial" w:hAnsi="Arial" w:cs="Arial"/>
          <w:sz w:val="20"/>
        </w:rPr>
        <w:t>Shawn reported that NABH is supporting an update to a previous Bowman Foundation study that shows payment differentials and parity violations.</w:t>
      </w:r>
    </w:p>
    <w:p w14:paraId="46F293FB" w14:textId="77777777" w:rsidR="00AB043F" w:rsidRPr="00AB043F" w:rsidRDefault="00AB043F" w:rsidP="00AB043F">
      <w:pPr>
        <w:pStyle w:val="ListParagraph"/>
        <w:jc w:val="both"/>
        <w:rPr>
          <w:rFonts w:ascii="Arial" w:hAnsi="Arial" w:cs="Arial"/>
          <w:b/>
          <w:bCs/>
          <w:sz w:val="20"/>
        </w:rPr>
      </w:pPr>
    </w:p>
    <w:p w14:paraId="6323E6CA" w14:textId="46CECCE8" w:rsidR="00AB043F" w:rsidRDefault="00AB043F" w:rsidP="00AB043F">
      <w:pPr>
        <w:pStyle w:val="ListParagraph"/>
        <w:numPr>
          <w:ilvl w:val="0"/>
          <w:numId w:val="1"/>
        </w:numPr>
        <w:tabs>
          <w:tab w:val="left" w:pos="-720"/>
        </w:tabs>
        <w:suppressAutoHyphens/>
        <w:jc w:val="both"/>
        <w:rPr>
          <w:rFonts w:ascii="Arial" w:hAnsi="Arial" w:cs="Arial"/>
          <w:b/>
          <w:bCs/>
          <w:sz w:val="20"/>
        </w:rPr>
      </w:pPr>
      <w:r w:rsidRPr="00AB043F">
        <w:rPr>
          <w:rFonts w:ascii="Arial" w:hAnsi="Arial" w:cs="Arial"/>
          <w:b/>
          <w:bCs/>
          <w:sz w:val="20"/>
        </w:rPr>
        <w:t>Regulatory Update</w:t>
      </w:r>
    </w:p>
    <w:p w14:paraId="501678AC" w14:textId="08F68600" w:rsidR="00930C5F" w:rsidRDefault="0038036C" w:rsidP="0038036C">
      <w:pPr>
        <w:pStyle w:val="ListParagraph"/>
        <w:tabs>
          <w:tab w:val="left" w:pos="-720"/>
        </w:tabs>
        <w:suppressAutoHyphens/>
        <w:ind w:left="1440"/>
        <w:jc w:val="both"/>
        <w:rPr>
          <w:rFonts w:ascii="Arial" w:hAnsi="Arial" w:cs="Arial"/>
          <w:sz w:val="20"/>
        </w:rPr>
      </w:pPr>
      <w:r>
        <w:rPr>
          <w:rFonts w:ascii="Arial" w:hAnsi="Arial" w:cs="Arial"/>
          <w:sz w:val="20"/>
        </w:rPr>
        <w:t>NABH</w:t>
      </w:r>
      <w:r w:rsidR="00930C5F">
        <w:rPr>
          <w:rFonts w:ascii="Arial" w:hAnsi="Arial" w:cs="Arial"/>
          <w:sz w:val="20"/>
        </w:rPr>
        <w:t xml:space="preserve"> has been working on a host of public comment letters, including:</w:t>
      </w:r>
    </w:p>
    <w:p w14:paraId="58680DD4" w14:textId="05405F47" w:rsidR="00930C5F" w:rsidRDefault="00930C5F" w:rsidP="00930C5F">
      <w:pPr>
        <w:pStyle w:val="ListParagraph"/>
        <w:numPr>
          <w:ilvl w:val="0"/>
          <w:numId w:val="6"/>
        </w:numPr>
        <w:tabs>
          <w:tab w:val="left" w:pos="-720"/>
        </w:tabs>
        <w:suppressAutoHyphens/>
        <w:jc w:val="both"/>
        <w:rPr>
          <w:rFonts w:ascii="Arial" w:hAnsi="Arial" w:cs="Arial"/>
          <w:sz w:val="20"/>
        </w:rPr>
      </w:pPr>
      <w:r>
        <w:rPr>
          <w:rFonts w:ascii="Arial" w:hAnsi="Arial" w:cs="Arial"/>
          <w:sz w:val="20"/>
        </w:rPr>
        <w:t>NABH will send CMS comments about Medicare Advantage today, Feb. 13.</w:t>
      </w:r>
    </w:p>
    <w:p w14:paraId="1D357D63" w14:textId="1193D720" w:rsidR="00930C5F" w:rsidRDefault="00930C5F" w:rsidP="00930C5F">
      <w:pPr>
        <w:pStyle w:val="ListParagraph"/>
        <w:numPr>
          <w:ilvl w:val="0"/>
          <w:numId w:val="6"/>
        </w:numPr>
        <w:tabs>
          <w:tab w:val="left" w:pos="-720"/>
        </w:tabs>
        <w:suppressAutoHyphens/>
        <w:jc w:val="both"/>
        <w:rPr>
          <w:rFonts w:ascii="Arial" w:hAnsi="Arial" w:cs="Arial"/>
          <w:sz w:val="20"/>
        </w:rPr>
      </w:pPr>
      <w:r>
        <w:rPr>
          <w:rFonts w:ascii="Arial" w:hAnsi="Arial" w:cs="Arial"/>
          <w:sz w:val="20"/>
        </w:rPr>
        <w:t>NABH will send SAMHSA comments about opioid treatment programs on Feb. 14.</w:t>
      </w:r>
    </w:p>
    <w:p w14:paraId="7359AEB8" w14:textId="3DDA2E48" w:rsidR="00AB043F" w:rsidRDefault="00930C5F" w:rsidP="00930C5F">
      <w:pPr>
        <w:pStyle w:val="ListParagraph"/>
        <w:numPr>
          <w:ilvl w:val="0"/>
          <w:numId w:val="6"/>
        </w:numPr>
        <w:tabs>
          <w:tab w:val="left" w:pos="-720"/>
        </w:tabs>
        <w:suppressAutoHyphens/>
        <w:jc w:val="both"/>
        <w:rPr>
          <w:rFonts w:ascii="Arial" w:hAnsi="Arial" w:cs="Arial"/>
          <w:sz w:val="20"/>
        </w:rPr>
      </w:pPr>
      <w:r>
        <w:rPr>
          <w:rFonts w:ascii="Arial" w:hAnsi="Arial" w:cs="Arial"/>
          <w:sz w:val="20"/>
        </w:rPr>
        <w:t>NABH will send CMS comments about prior authorization in March.</w:t>
      </w:r>
    </w:p>
    <w:p w14:paraId="762E67A1" w14:textId="77777777" w:rsidR="00930C5F" w:rsidRPr="00930C5F" w:rsidRDefault="00930C5F" w:rsidP="00930C5F">
      <w:pPr>
        <w:pStyle w:val="ListParagraph"/>
        <w:tabs>
          <w:tab w:val="left" w:pos="-720"/>
        </w:tabs>
        <w:suppressAutoHyphens/>
        <w:ind w:left="2160"/>
        <w:jc w:val="both"/>
        <w:rPr>
          <w:rFonts w:ascii="Arial" w:hAnsi="Arial" w:cs="Arial"/>
          <w:sz w:val="20"/>
        </w:rPr>
      </w:pPr>
    </w:p>
    <w:p w14:paraId="5290B2CB" w14:textId="77777777" w:rsidR="00AB043F" w:rsidRPr="00AB043F" w:rsidRDefault="00AB043F" w:rsidP="00AB043F">
      <w:pPr>
        <w:numPr>
          <w:ilvl w:val="0"/>
          <w:numId w:val="1"/>
        </w:numPr>
        <w:autoSpaceDN w:val="0"/>
        <w:spacing w:after="0" w:line="240" w:lineRule="auto"/>
        <w:jc w:val="both"/>
        <w:rPr>
          <w:rFonts w:ascii="Arial" w:hAnsi="Arial" w:cs="Arial"/>
          <w:b/>
          <w:bCs/>
          <w:sz w:val="20"/>
        </w:rPr>
      </w:pPr>
      <w:r w:rsidRPr="00AB043F">
        <w:rPr>
          <w:rFonts w:ascii="Arial" w:hAnsi="Arial" w:cs="Arial"/>
          <w:b/>
          <w:bCs/>
          <w:sz w:val="20"/>
        </w:rPr>
        <w:t>Executive Session</w:t>
      </w:r>
    </w:p>
    <w:p w14:paraId="1427E998" w14:textId="50FE0B89" w:rsidR="00AB043F" w:rsidRDefault="00AB043F" w:rsidP="00AB043F">
      <w:pPr>
        <w:ind w:left="1440"/>
        <w:jc w:val="both"/>
        <w:rPr>
          <w:rFonts w:ascii="Arial" w:hAnsi="Arial" w:cs="Arial"/>
          <w:b/>
          <w:bCs/>
          <w:sz w:val="20"/>
        </w:rPr>
      </w:pPr>
      <w:r w:rsidRPr="00AB043F">
        <w:rPr>
          <w:rFonts w:ascii="Arial" w:hAnsi="Arial" w:cs="Arial"/>
          <w:b/>
          <w:bCs/>
          <w:sz w:val="20"/>
        </w:rPr>
        <w:t>* 2022 Bonuses</w:t>
      </w:r>
    </w:p>
    <w:p w14:paraId="3D0D5572" w14:textId="3C26844C" w:rsidR="0038036C" w:rsidRPr="0038036C" w:rsidRDefault="0038036C" w:rsidP="00AB043F">
      <w:pPr>
        <w:ind w:left="1440"/>
        <w:jc w:val="both"/>
        <w:rPr>
          <w:rFonts w:ascii="Arial" w:hAnsi="Arial" w:cs="Arial"/>
          <w:sz w:val="20"/>
        </w:rPr>
      </w:pPr>
      <w:r w:rsidRPr="0038036C">
        <w:rPr>
          <w:rFonts w:ascii="Arial" w:hAnsi="Arial" w:cs="Arial"/>
          <w:sz w:val="20"/>
        </w:rPr>
        <w:t xml:space="preserve">EC members moved to Executive Session at 3:21 p.m. </w:t>
      </w:r>
    </w:p>
    <w:p w14:paraId="5A392982" w14:textId="77777777" w:rsidR="00AB043F" w:rsidRDefault="00AB043F" w:rsidP="00AB043F">
      <w:pPr>
        <w:pStyle w:val="ListParagraph"/>
        <w:rPr>
          <w:rFonts w:ascii="Arial" w:hAnsi="Arial" w:cs="Arial"/>
          <w:sz w:val="20"/>
        </w:rPr>
      </w:pPr>
    </w:p>
    <w:p w14:paraId="12168ACC" w14:textId="5DFA5065" w:rsidR="00165832" w:rsidRPr="00DE519F" w:rsidRDefault="00165832" w:rsidP="00165832">
      <w:pPr>
        <w:spacing w:after="0"/>
        <w:rPr>
          <w:rFonts w:ascii="Arial" w:hAnsi="Arial" w:cs="Arial"/>
          <w:sz w:val="20"/>
          <w:szCs w:val="20"/>
        </w:rPr>
      </w:pPr>
    </w:p>
    <w:p w14:paraId="05D7808A" w14:textId="77777777" w:rsidR="00165832" w:rsidRDefault="00165832" w:rsidP="00165832"/>
    <w:p w14:paraId="077B5D8F" w14:textId="77777777" w:rsidR="00F5057B" w:rsidRDefault="00F5057B"/>
    <w:sectPr w:rsidR="00F505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AB8F" w14:textId="77777777" w:rsidR="00123CAC" w:rsidRDefault="00986049">
      <w:pPr>
        <w:spacing w:after="0" w:line="240" w:lineRule="auto"/>
      </w:pPr>
      <w:r>
        <w:separator/>
      </w:r>
    </w:p>
  </w:endnote>
  <w:endnote w:type="continuationSeparator" w:id="0">
    <w:p w14:paraId="36900B5F" w14:textId="77777777" w:rsidR="00123CAC" w:rsidRDefault="0098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581744"/>
      <w:docPartObj>
        <w:docPartGallery w:val="Page Numbers (Bottom of Page)"/>
        <w:docPartUnique/>
      </w:docPartObj>
    </w:sdtPr>
    <w:sdtEndPr>
      <w:rPr>
        <w:noProof/>
      </w:rPr>
    </w:sdtEndPr>
    <w:sdtContent>
      <w:p w14:paraId="6F35C50C" w14:textId="77777777" w:rsidR="00503695" w:rsidRDefault="001658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56008" w14:textId="77777777" w:rsidR="00503695" w:rsidRDefault="0023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F100" w14:textId="77777777" w:rsidR="00123CAC" w:rsidRDefault="00986049">
      <w:pPr>
        <w:spacing w:after="0" w:line="240" w:lineRule="auto"/>
      </w:pPr>
      <w:r>
        <w:separator/>
      </w:r>
    </w:p>
  </w:footnote>
  <w:footnote w:type="continuationSeparator" w:id="0">
    <w:p w14:paraId="57740155" w14:textId="77777777" w:rsidR="00123CAC" w:rsidRDefault="00986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96B"/>
    <w:multiLevelType w:val="hybridMultilevel"/>
    <w:tmpl w:val="078CE4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474C8"/>
    <w:multiLevelType w:val="hybridMultilevel"/>
    <w:tmpl w:val="F18C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7430E"/>
    <w:multiLevelType w:val="hybridMultilevel"/>
    <w:tmpl w:val="4FB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767D9"/>
    <w:multiLevelType w:val="hybridMultilevel"/>
    <w:tmpl w:val="D6120854"/>
    <w:lvl w:ilvl="0" w:tplc="C39CE006">
      <w:start w:val="1"/>
      <w:numFmt w:val="upperRoman"/>
      <w:lvlText w:val="%1."/>
      <w:lvlJc w:val="left"/>
      <w:pPr>
        <w:tabs>
          <w:tab w:val="num" w:pos="1440"/>
        </w:tabs>
        <w:ind w:left="1440" w:hanging="720"/>
      </w:pPr>
      <w:rPr>
        <w:i w:val="0"/>
      </w:rPr>
    </w:lvl>
    <w:lvl w:ilvl="1" w:tplc="EE3AE140">
      <w:start w:val="1"/>
      <w:numFmt w:val="upperLetter"/>
      <w:lvlText w:val="%2."/>
      <w:lvlJc w:val="left"/>
      <w:pPr>
        <w:tabs>
          <w:tab w:val="num" w:pos="1800"/>
        </w:tabs>
        <w:ind w:left="1800" w:hanging="360"/>
      </w:pPr>
      <w:rPr>
        <w:rFonts w:hint="default"/>
        <w:i w:val="0"/>
        <w:iCs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17E36BB"/>
    <w:multiLevelType w:val="hybridMultilevel"/>
    <w:tmpl w:val="BA028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BC92D24"/>
    <w:multiLevelType w:val="multilevel"/>
    <w:tmpl w:val="F924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6636496">
    <w:abstractNumId w:val="3"/>
  </w:num>
  <w:num w:numId="2" w16cid:durableId="163250305">
    <w:abstractNumId w:val="0"/>
  </w:num>
  <w:num w:numId="3" w16cid:durableId="1921405402">
    <w:abstractNumId w:val="5"/>
  </w:num>
  <w:num w:numId="4" w16cid:durableId="374425346">
    <w:abstractNumId w:val="2"/>
  </w:num>
  <w:num w:numId="5" w16cid:durableId="392049627">
    <w:abstractNumId w:val="1"/>
  </w:num>
  <w:num w:numId="6" w16cid:durableId="37388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32"/>
    <w:rsid w:val="00123CAC"/>
    <w:rsid w:val="00157AA2"/>
    <w:rsid w:val="00165832"/>
    <w:rsid w:val="001832D0"/>
    <w:rsid w:val="001A14F2"/>
    <w:rsid w:val="00237ED3"/>
    <w:rsid w:val="002C319C"/>
    <w:rsid w:val="0038036C"/>
    <w:rsid w:val="00392E04"/>
    <w:rsid w:val="003B71E6"/>
    <w:rsid w:val="00416E7D"/>
    <w:rsid w:val="006B1D64"/>
    <w:rsid w:val="006E7E82"/>
    <w:rsid w:val="00930C5F"/>
    <w:rsid w:val="00986049"/>
    <w:rsid w:val="00A50014"/>
    <w:rsid w:val="00AB043F"/>
    <w:rsid w:val="00B329AB"/>
    <w:rsid w:val="00B4415F"/>
    <w:rsid w:val="00C234E2"/>
    <w:rsid w:val="00C90723"/>
    <w:rsid w:val="00D1201D"/>
    <w:rsid w:val="00D630A5"/>
    <w:rsid w:val="00DD4E67"/>
    <w:rsid w:val="00DF59D3"/>
    <w:rsid w:val="00F058C2"/>
    <w:rsid w:val="00F5057B"/>
    <w:rsid w:val="00FD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00DD"/>
  <w15:chartTrackingRefBased/>
  <w15:docId w15:val="{B62B826A-5AFE-4D2F-BBCB-329E17B3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65832"/>
    <w:pPr>
      <w:spacing w:after="0" w:line="240" w:lineRule="auto"/>
    </w:pPr>
    <w:rPr>
      <w:rFonts w:ascii=".SF UI Text" w:hAnsi=".SF UI Text" w:cs="Calibri"/>
      <w:color w:val="454545"/>
      <w:sz w:val="26"/>
      <w:szCs w:val="26"/>
    </w:rPr>
  </w:style>
  <w:style w:type="character" w:customStyle="1" w:styleId="s1">
    <w:name w:val="s1"/>
    <w:basedOn w:val="DefaultParagraphFont"/>
    <w:rsid w:val="00165832"/>
    <w:rPr>
      <w:rFonts w:ascii=".SFUIText" w:hAnsi=".SFUIText" w:hint="default"/>
      <w:b w:val="0"/>
      <w:bCs w:val="0"/>
      <w:i w:val="0"/>
      <w:iCs w:val="0"/>
      <w:sz w:val="34"/>
      <w:szCs w:val="34"/>
    </w:rPr>
  </w:style>
  <w:style w:type="paragraph" w:styleId="Footer">
    <w:name w:val="footer"/>
    <w:basedOn w:val="Normal"/>
    <w:link w:val="FooterChar"/>
    <w:uiPriority w:val="99"/>
    <w:unhideWhenUsed/>
    <w:rsid w:val="00165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32"/>
  </w:style>
  <w:style w:type="paragraph" w:styleId="NoSpacing">
    <w:name w:val="No Spacing"/>
    <w:uiPriority w:val="1"/>
    <w:qFormat/>
    <w:rsid w:val="00165832"/>
    <w:pPr>
      <w:spacing w:after="0" w:line="240" w:lineRule="auto"/>
    </w:pPr>
  </w:style>
  <w:style w:type="paragraph" w:styleId="ListParagraph">
    <w:name w:val="List Paragraph"/>
    <w:basedOn w:val="Normal"/>
    <w:uiPriority w:val="34"/>
    <w:qFormat/>
    <w:rsid w:val="00AB043F"/>
    <w:pPr>
      <w:overflowPunct w:val="0"/>
      <w:autoSpaceDE w:val="0"/>
      <w:autoSpaceDN w:val="0"/>
      <w:adjustRightInd w:val="0"/>
      <w:spacing w:after="0" w:line="240" w:lineRule="auto"/>
      <w:ind w:left="720"/>
    </w:pPr>
    <w:rPr>
      <w:rFonts w:ascii="Univers" w:eastAsia="Times New Roman" w:hAnsi="Univers" w:cs="Times New Roman"/>
      <w:szCs w:val="20"/>
    </w:rPr>
  </w:style>
  <w:style w:type="character" w:styleId="CommentReference">
    <w:name w:val="annotation reference"/>
    <w:basedOn w:val="DefaultParagraphFont"/>
    <w:uiPriority w:val="99"/>
    <w:semiHidden/>
    <w:unhideWhenUsed/>
    <w:rsid w:val="00B329AB"/>
    <w:rPr>
      <w:sz w:val="16"/>
      <w:szCs w:val="16"/>
    </w:rPr>
  </w:style>
  <w:style w:type="paragraph" w:styleId="CommentText">
    <w:name w:val="annotation text"/>
    <w:basedOn w:val="Normal"/>
    <w:link w:val="CommentTextChar"/>
    <w:uiPriority w:val="99"/>
    <w:unhideWhenUsed/>
    <w:rsid w:val="00B329AB"/>
    <w:pPr>
      <w:spacing w:line="240" w:lineRule="auto"/>
    </w:pPr>
    <w:rPr>
      <w:sz w:val="20"/>
      <w:szCs w:val="20"/>
    </w:rPr>
  </w:style>
  <w:style w:type="character" w:customStyle="1" w:styleId="CommentTextChar">
    <w:name w:val="Comment Text Char"/>
    <w:basedOn w:val="DefaultParagraphFont"/>
    <w:link w:val="CommentText"/>
    <w:uiPriority w:val="99"/>
    <w:rsid w:val="00B329AB"/>
    <w:rPr>
      <w:sz w:val="20"/>
      <w:szCs w:val="20"/>
    </w:rPr>
  </w:style>
  <w:style w:type="paragraph" w:styleId="CommentSubject">
    <w:name w:val="annotation subject"/>
    <w:basedOn w:val="CommentText"/>
    <w:next w:val="CommentText"/>
    <w:link w:val="CommentSubjectChar"/>
    <w:uiPriority w:val="99"/>
    <w:semiHidden/>
    <w:unhideWhenUsed/>
    <w:rsid w:val="00B329AB"/>
    <w:rPr>
      <w:b/>
      <w:bCs/>
    </w:rPr>
  </w:style>
  <w:style w:type="character" w:customStyle="1" w:styleId="CommentSubjectChar">
    <w:name w:val="Comment Subject Char"/>
    <w:basedOn w:val="CommentTextChar"/>
    <w:link w:val="CommentSubject"/>
    <w:uiPriority w:val="99"/>
    <w:semiHidden/>
    <w:rsid w:val="00B329AB"/>
    <w:rPr>
      <w:b/>
      <w:bCs/>
      <w:sz w:val="20"/>
      <w:szCs w:val="20"/>
    </w:rPr>
  </w:style>
  <w:style w:type="paragraph" w:styleId="NormalWeb">
    <w:name w:val="Normal (Web)"/>
    <w:basedOn w:val="Normal"/>
    <w:uiPriority w:val="99"/>
    <w:semiHidden/>
    <w:unhideWhenUsed/>
    <w:rsid w:val="00183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2746">
      <w:bodyDiv w:val="1"/>
      <w:marLeft w:val="0"/>
      <w:marRight w:val="0"/>
      <w:marTop w:val="0"/>
      <w:marBottom w:val="0"/>
      <w:divBdr>
        <w:top w:val="none" w:sz="0" w:space="0" w:color="auto"/>
        <w:left w:val="none" w:sz="0" w:space="0" w:color="auto"/>
        <w:bottom w:val="none" w:sz="0" w:space="0" w:color="auto"/>
        <w:right w:val="none" w:sz="0" w:space="0" w:color="auto"/>
      </w:divBdr>
    </w:div>
    <w:div w:id="8403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21</cp:revision>
  <dcterms:created xsi:type="dcterms:W3CDTF">2023-02-13T15:50:00Z</dcterms:created>
  <dcterms:modified xsi:type="dcterms:W3CDTF">2023-03-07T21:08:00Z</dcterms:modified>
</cp:coreProperties>
</file>